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中共张家口市纪律检查委员会张家口市监察委员会</w:t>
      </w:r>
    </w:p>
    <w:p>
      <w:pPr>
        <w:jc w:val="center"/>
        <w:outlineLvl w:val="0"/>
      </w:pPr>
      <w:r>
        <w:rPr>
          <w:rFonts w:hint="eastAsia" w:ascii="黑体" w:hAnsi="黑体" w:eastAsia="黑体" w:cs="黑体"/>
          <w:b/>
          <w:color w:val="000000"/>
          <w:sz w:val="44"/>
          <w:lang w:eastAsia="zh-CN"/>
        </w:rPr>
        <w:t>所属单位</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一、中共张家口市纪律检查委员会</w:t>
      </w:r>
      <w:r>
        <w:rPr>
          <w:rFonts w:hint="eastAsia"/>
          <w:lang w:eastAsia="zh-CN"/>
        </w:rPr>
        <w:t>张家口市监察委员会</w:t>
      </w:r>
      <w:r>
        <w:t>本级收支预算</w:t>
      </w:r>
      <w:r>
        <w:tab/>
      </w:r>
      <w:r>
        <w:fldChar w:fldCharType="begin"/>
      </w:r>
      <w:r>
        <w:instrText xml:space="preserve">PAGEREF _Toc_4_4_0000000019 \h</w:instrText>
      </w:r>
      <w:r>
        <w:fldChar w:fldCharType="separate"/>
      </w:r>
      <w:r>
        <w:t>2</w:t>
      </w:r>
      <w:r>
        <w:fldChar w:fldCharType="end"/>
      </w:r>
      <w:r>
        <w:fldChar w:fldCharType="end"/>
      </w:r>
    </w:p>
    <w:p>
      <w:pPr>
        <w:pStyle w:val="32"/>
        <w:tabs>
          <w:tab w:val="right" w:leader="dot" w:pos="14562"/>
        </w:tabs>
      </w:pPr>
      <w:r>
        <w:fldChar w:fldCharType="begin"/>
      </w:r>
      <w:r>
        <w:instrText xml:space="preserve"> HYPERLINK \l "_Toc_4_4_0000000021" </w:instrText>
      </w:r>
      <w:r>
        <w:fldChar w:fldCharType="separate"/>
      </w:r>
      <w:r>
        <w:rPr>
          <w:rFonts w:hint="eastAsia"/>
          <w:lang w:eastAsia="zh-CN"/>
        </w:rPr>
        <w:t>二</w:t>
      </w:r>
      <w:r>
        <w:t>、张家口市廉政教育基地收支预算</w:t>
      </w:r>
      <w:r>
        <w:tab/>
      </w:r>
      <w:r>
        <w:fldChar w:fldCharType="begin"/>
      </w:r>
      <w:r>
        <w:instrText xml:space="preserve">PAGEREF _Toc_4_4_0000000021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一、中共张家口市纪律检查委员会</w:t>
      </w:r>
      <w:r>
        <w:rPr>
          <w:rFonts w:hint="eastAsia" w:ascii="方正小标宋_GBK" w:hAnsi="方正小标宋_GBK" w:eastAsia="方正小标宋_GBK" w:cs="方正小标宋_GBK"/>
          <w:color w:val="000000"/>
          <w:sz w:val="44"/>
          <w:lang w:eastAsia="zh-CN"/>
        </w:rPr>
        <w:t>张家口市监察委员会</w:t>
      </w:r>
      <w:r>
        <w:rPr>
          <w:rFonts w:ascii="方正小标宋_GBK" w:hAnsi="方正小标宋_GBK" w:eastAsia="方正小标宋_GBK" w:cs="方正小标宋_GBK"/>
          <w:color w:val="000000"/>
          <w:sz w:val="44"/>
        </w:rPr>
        <w:t>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7134.83</w:t>
            </w:r>
          </w:p>
        </w:tc>
        <w:tc>
          <w:tcPr>
            <w:tcW w:w="4535" w:type="dxa"/>
            <w:vAlign w:val="center"/>
          </w:tcPr>
          <w:p>
            <w:pPr>
              <w:pStyle w:val="12"/>
            </w:pPr>
            <w:r>
              <w:t>一、一般公共服务支出</w:t>
            </w:r>
          </w:p>
        </w:tc>
        <w:tc>
          <w:tcPr>
            <w:tcW w:w="2126" w:type="dxa"/>
            <w:vAlign w:val="center"/>
          </w:tcPr>
          <w:p>
            <w:pPr>
              <w:pStyle w:val="11"/>
            </w:pPr>
            <w:r>
              <w:t>5989.91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527.43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281.47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7134.83</w:t>
            </w:r>
          </w:p>
        </w:tc>
        <w:tc>
          <w:tcPr>
            <w:tcW w:w="4535" w:type="dxa"/>
            <w:vAlign w:val="center"/>
          </w:tcPr>
          <w:p>
            <w:pPr>
              <w:pStyle w:val="14"/>
            </w:pPr>
            <w:r>
              <w:t>本年支出合计</w:t>
            </w:r>
          </w:p>
        </w:tc>
        <w:tc>
          <w:tcPr>
            <w:tcW w:w="2126" w:type="dxa"/>
            <w:vAlign w:val="center"/>
          </w:tcPr>
          <w:p>
            <w:pPr>
              <w:pStyle w:val="15"/>
            </w:pPr>
            <w:r>
              <w:t>7166.64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31.81</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7166.64</w:t>
            </w:r>
          </w:p>
        </w:tc>
        <w:tc>
          <w:tcPr>
            <w:tcW w:w="4535" w:type="dxa"/>
            <w:vAlign w:val="center"/>
          </w:tcPr>
          <w:p>
            <w:pPr>
              <w:pStyle w:val="14"/>
            </w:pPr>
            <w:r>
              <w:t>支出总计</w:t>
            </w:r>
          </w:p>
        </w:tc>
        <w:tc>
          <w:tcPr>
            <w:tcW w:w="2126" w:type="dxa"/>
            <w:vAlign w:val="center"/>
          </w:tcPr>
          <w:p>
            <w:pPr>
              <w:pStyle w:val="15"/>
            </w:pPr>
            <w:r>
              <w:t>7166.64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7166.64</w:t>
            </w:r>
          </w:p>
        </w:tc>
        <w:tc>
          <w:tcPr>
            <w:tcW w:w="1134" w:type="dxa"/>
            <w:vAlign w:val="center"/>
          </w:tcPr>
          <w:p>
            <w:pPr>
              <w:pStyle w:val="15"/>
            </w:pPr>
            <w:r>
              <w:t>7134.83</w:t>
            </w:r>
          </w:p>
        </w:tc>
        <w:tc>
          <w:tcPr>
            <w:tcW w:w="1134" w:type="dxa"/>
            <w:vAlign w:val="center"/>
          </w:tcPr>
          <w:p>
            <w:pPr>
              <w:pStyle w:val="15"/>
            </w:pPr>
            <w:r>
              <w:t>7134.83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5989.91</w:t>
            </w:r>
          </w:p>
        </w:tc>
        <w:tc>
          <w:tcPr>
            <w:tcW w:w="1134" w:type="dxa"/>
            <w:vAlign w:val="center"/>
          </w:tcPr>
          <w:p>
            <w:pPr>
              <w:pStyle w:val="11"/>
            </w:pPr>
            <w:r>
              <w:t>5989.91</w:t>
            </w:r>
          </w:p>
        </w:tc>
        <w:tc>
          <w:tcPr>
            <w:tcW w:w="1134" w:type="dxa"/>
            <w:vAlign w:val="center"/>
          </w:tcPr>
          <w:p>
            <w:pPr>
              <w:pStyle w:val="11"/>
            </w:pPr>
            <w:r>
              <w:t>5989.91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5989.91</w:t>
            </w:r>
          </w:p>
        </w:tc>
        <w:tc>
          <w:tcPr>
            <w:tcW w:w="1134" w:type="dxa"/>
            <w:vAlign w:val="center"/>
          </w:tcPr>
          <w:p>
            <w:pPr>
              <w:pStyle w:val="11"/>
            </w:pPr>
            <w:r>
              <w:t>5989.91</w:t>
            </w:r>
          </w:p>
        </w:tc>
        <w:tc>
          <w:tcPr>
            <w:tcW w:w="1134" w:type="dxa"/>
            <w:vAlign w:val="center"/>
          </w:tcPr>
          <w:p>
            <w:pPr>
              <w:pStyle w:val="11"/>
            </w:pPr>
            <w:r>
              <w:t>5989.91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rPr>
                <w:highlight w:val="none"/>
              </w:rPr>
            </w:pPr>
            <w:r>
              <w:rPr>
                <w:highlight w:val="none"/>
              </w:rPr>
              <w:t>204</w:t>
            </w:r>
          </w:p>
        </w:tc>
        <w:tc>
          <w:tcPr>
            <w:tcW w:w="1559" w:type="dxa"/>
            <w:vAlign w:val="center"/>
          </w:tcPr>
          <w:p>
            <w:pPr>
              <w:pStyle w:val="12"/>
              <w:rPr>
                <w:highlight w:val="none"/>
              </w:rPr>
            </w:pPr>
            <w:r>
              <w:rPr>
                <w:highlight w:val="none"/>
              </w:rPr>
              <w:t>公共安全支出</w:t>
            </w:r>
          </w:p>
        </w:tc>
        <w:tc>
          <w:tcPr>
            <w:tcW w:w="1134" w:type="dxa"/>
            <w:vAlign w:val="center"/>
          </w:tcPr>
          <w:p>
            <w:pPr>
              <w:pStyle w:val="11"/>
            </w:pPr>
            <w:r>
              <w:t>31.81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rPr>
                <w:highlight w:val="none"/>
              </w:rPr>
            </w:pPr>
            <w:r>
              <w:rPr>
                <w:highlight w:val="none"/>
              </w:rPr>
              <w:t>208</w:t>
            </w:r>
          </w:p>
        </w:tc>
        <w:tc>
          <w:tcPr>
            <w:tcW w:w="1559" w:type="dxa"/>
            <w:vAlign w:val="center"/>
          </w:tcPr>
          <w:p>
            <w:pPr>
              <w:pStyle w:val="12"/>
              <w:rPr>
                <w:highlight w:val="none"/>
              </w:rPr>
            </w:pPr>
            <w:r>
              <w:rPr>
                <w:highlight w:val="none"/>
              </w:rPr>
              <w:t>社会保障和就业支出</w:t>
            </w:r>
          </w:p>
        </w:tc>
        <w:tc>
          <w:tcPr>
            <w:tcW w:w="1134" w:type="dxa"/>
            <w:vAlign w:val="center"/>
          </w:tcPr>
          <w:p>
            <w:pPr>
              <w:pStyle w:val="11"/>
            </w:pPr>
            <w:r>
              <w:t>527.43</w:t>
            </w:r>
          </w:p>
        </w:tc>
        <w:tc>
          <w:tcPr>
            <w:tcW w:w="1134" w:type="dxa"/>
            <w:vAlign w:val="center"/>
          </w:tcPr>
          <w:p>
            <w:pPr>
              <w:pStyle w:val="11"/>
            </w:pPr>
            <w:r>
              <w:t>527.43</w:t>
            </w:r>
          </w:p>
        </w:tc>
        <w:tc>
          <w:tcPr>
            <w:tcW w:w="1134" w:type="dxa"/>
            <w:vAlign w:val="center"/>
          </w:tcPr>
          <w:p>
            <w:pPr>
              <w:pStyle w:val="11"/>
            </w:pPr>
            <w:r>
              <w:t>527.43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rPr>
                <w:highlight w:val="none"/>
              </w:rPr>
            </w:pPr>
            <w:r>
              <w:t>20805</w:t>
            </w:r>
          </w:p>
        </w:tc>
        <w:tc>
          <w:tcPr>
            <w:tcW w:w="1559" w:type="dxa"/>
            <w:vAlign w:val="center"/>
          </w:tcPr>
          <w:p>
            <w:pPr>
              <w:pStyle w:val="12"/>
              <w:rPr>
                <w:highlight w:val="none"/>
              </w:rPr>
            </w:pPr>
            <w:r>
              <w:t>行政事业单位养老支出</w:t>
            </w:r>
          </w:p>
        </w:tc>
        <w:tc>
          <w:tcPr>
            <w:tcW w:w="1134" w:type="dxa"/>
            <w:vAlign w:val="center"/>
          </w:tcPr>
          <w:p>
            <w:pPr>
              <w:pStyle w:val="11"/>
            </w:pPr>
            <w:r>
              <w:t>527.43</w:t>
            </w:r>
          </w:p>
        </w:tc>
        <w:tc>
          <w:tcPr>
            <w:tcW w:w="1134" w:type="dxa"/>
            <w:vAlign w:val="center"/>
          </w:tcPr>
          <w:p>
            <w:pPr>
              <w:pStyle w:val="11"/>
            </w:pPr>
            <w:r>
              <w:t>527.43</w:t>
            </w:r>
          </w:p>
        </w:tc>
        <w:tc>
          <w:tcPr>
            <w:tcW w:w="1134" w:type="dxa"/>
            <w:vAlign w:val="center"/>
          </w:tcPr>
          <w:p>
            <w:pPr>
              <w:pStyle w:val="11"/>
            </w:pPr>
            <w:r>
              <w:t>527.43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rPr>
                <w:highlight w:val="none"/>
              </w:rPr>
            </w:pPr>
            <w:r>
              <w:t>2080501</w:t>
            </w:r>
          </w:p>
        </w:tc>
        <w:tc>
          <w:tcPr>
            <w:tcW w:w="1559" w:type="dxa"/>
            <w:vAlign w:val="center"/>
          </w:tcPr>
          <w:p>
            <w:pPr>
              <w:pStyle w:val="12"/>
              <w:rPr>
                <w:highlight w:val="none"/>
              </w:rPr>
            </w:pPr>
            <w:r>
              <w:t>行政单位离退休</w:t>
            </w:r>
          </w:p>
        </w:tc>
        <w:tc>
          <w:tcPr>
            <w:tcW w:w="1134" w:type="dxa"/>
            <w:vAlign w:val="center"/>
          </w:tcPr>
          <w:p>
            <w:pPr>
              <w:pStyle w:val="11"/>
            </w:pPr>
            <w:r>
              <w:t>152.14</w:t>
            </w:r>
          </w:p>
        </w:tc>
        <w:tc>
          <w:tcPr>
            <w:tcW w:w="1134" w:type="dxa"/>
            <w:vAlign w:val="center"/>
          </w:tcPr>
          <w:p>
            <w:pPr>
              <w:pStyle w:val="11"/>
            </w:pPr>
            <w:r>
              <w:t>152.14</w:t>
            </w:r>
          </w:p>
        </w:tc>
        <w:tc>
          <w:tcPr>
            <w:tcW w:w="1134" w:type="dxa"/>
            <w:vAlign w:val="center"/>
          </w:tcPr>
          <w:p>
            <w:pPr>
              <w:pStyle w:val="11"/>
            </w:pPr>
            <w:r>
              <w:t>152.14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rPr>
                <w:highlight w:val="yellow"/>
              </w:rPr>
            </w:pPr>
            <w:r>
              <w:t>机关事业单位基本养老保险缴费支出</w:t>
            </w:r>
          </w:p>
        </w:tc>
        <w:tc>
          <w:tcPr>
            <w:tcW w:w="1134" w:type="dxa"/>
            <w:vAlign w:val="center"/>
          </w:tcPr>
          <w:p>
            <w:pPr>
              <w:pStyle w:val="11"/>
            </w:pPr>
            <w:r>
              <w:t>375.29</w:t>
            </w:r>
          </w:p>
        </w:tc>
        <w:tc>
          <w:tcPr>
            <w:tcW w:w="1134" w:type="dxa"/>
            <w:vAlign w:val="center"/>
          </w:tcPr>
          <w:p>
            <w:pPr>
              <w:pStyle w:val="11"/>
            </w:pPr>
            <w:r>
              <w:t>375.29</w:t>
            </w:r>
          </w:p>
        </w:tc>
        <w:tc>
          <w:tcPr>
            <w:tcW w:w="1134" w:type="dxa"/>
            <w:vAlign w:val="center"/>
          </w:tcPr>
          <w:p>
            <w:pPr>
              <w:pStyle w:val="11"/>
            </w:pPr>
            <w:r>
              <w:t>375.29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rPr>
                <w:highlight w:val="green"/>
              </w:rPr>
            </w:pPr>
            <w:r>
              <w:t>卫生健康支出</w:t>
            </w:r>
          </w:p>
        </w:tc>
        <w:tc>
          <w:tcPr>
            <w:tcW w:w="1134" w:type="dxa"/>
            <w:vAlign w:val="center"/>
          </w:tcPr>
          <w:p>
            <w:pPr>
              <w:pStyle w:val="11"/>
            </w:pPr>
            <w:r>
              <w:t>336.02</w:t>
            </w:r>
          </w:p>
        </w:tc>
        <w:tc>
          <w:tcPr>
            <w:tcW w:w="1134" w:type="dxa"/>
            <w:vAlign w:val="center"/>
          </w:tcPr>
          <w:p>
            <w:pPr>
              <w:pStyle w:val="11"/>
            </w:pPr>
            <w:r>
              <w:t>336.02</w:t>
            </w:r>
          </w:p>
        </w:tc>
        <w:tc>
          <w:tcPr>
            <w:tcW w:w="1134" w:type="dxa"/>
            <w:vAlign w:val="center"/>
          </w:tcPr>
          <w:p>
            <w:pPr>
              <w:pStyle w:val="11"/>
            </w:pPr>
            <w:r>
              <w:t>336.02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rPr>
                <w:highlight w:val="green"/>
              </w:rPr>
            </w:pPr>
            <w:r>
              <w:t>行政事业单位医疗</w:t>
            </w:r>
          </w:p>
        </w:tc>
        <w:tc>
          <w:tcPr>
            <w:tcW w:w="1134" w:type="dxa"/>
            <w:vAlign w:val="center"/>
          </w:tcPr>
          <w:p>
            <w:pPr>
              <w:pStyle w:val="11"/>
            </w:pPr>
            <w:r>
              <w:t>336.02</w:t>
            </w:r>
          </w:p>
        </w:tc>
        <w:tc>
          <w:tcPr>
            <w:tcW w:w="1134" w:type="dxa"/>
            <w:vAlign w:val="center"/>
          </w:tcPr>
          <w:p>
            <w:pPr>
              <w:pStyle w:val="11"/>
            </w:pPr>
            <w:r>
              <w:t>336.02</w:t>
            </w:r>
          </w:p>
        </w:tc>
        <w:tc>
          <w:tcPr>
            <w:tcW w:w="1134" w:type="dxa"/>
            <w:vAlign w:val="center"/>
          </w:tcPr>
          <w:p>
            <w:pPr>
              <w:pStyle w:val="11"/>
            </w:pPr>
            <w:r>
              <w:t>336.02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rPr>
                <w:highlight w:val="green"/>
              </w:rPr>
            </w:pPr>
            <w:r>
              <w:t>行政单位医疗</w:t>
            </w:r>
          </w:p>
        </w:tc>
        <w:tc>
          <w:tcPr>
            <w:tcW w:w="1134" w:type="dxa"/>
            <w:vAlign w:val="center"/>
          </w:tcPr>
          <w:p>
            <w:pPr>
              <w:pStyle w:val="11"/>
            </w:pPr>
            <w:r>
              <w:t>336.02</w:t>
            </w:r>
          </w:p>
        </w:tc>
        <w:tc>
          <w:tcPr>
            <w:tcW w:w="1134" w:type="dxa"/>
            <w:vAlign w:val="center"/>
          </w:tcPr>
          <w:p>
            <w:pPr>
              <w:pStyle w:val="11"/>
            </w:pPr>
            <w:r>
              <w:t>336.02</w:t>
            </w:r>
          </w:p>
        </w:tc>
        <w:tc>
          <w:tcPr>
            <w:tcW w:w="1134" w:type="dxa"/>
            <w:vAlign w:val="center"/>
          </w:tcPr>
          <w:p>
            <w:pPr>
              <w:pStyle w:val="11"/>
            </w:pPr>
            <w:r>
              <w:t>336.02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281.47</w:t>
            </w:r>
          </w:p>
        </w:tc>
        <w:tc>
          <w:tcPr>
            <w:tcW w:w="1134" w:type="dxa"/>
            <w:vAlign w:val="center"/>
          </w:tcPr>
          <w:p>
            <w:pPr>
              <w:pStyle w:val="11"/>
            </w:pPr>
            <w:r>
              <w:t>281.47</w:t>
            </w:r>
          </w:p>
        </w:tc>
        <w:tc>
          <w:tcPr>
            <w:tcW w:w="1134" w:type="dxa"/>
            <w:vAlign w:val="center"/>
          </w:tcPr>
          <w:p>
            <w:pPr>
              <w:pStyle w:val="11"/>
            </w:pPr>
            <w:r>
              <w:t>281.47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281.47</w:t>
            </w:r>
          </w:p>
        </w:tc>
        <w:tc>
          <w:tcPr>
            <w:tcW w:w="1134" w:type="dxa"/>
            <w:vAlign w:val="center"/>
          </w:tcPr>
          <w:p>
            <w:pPr>
              <w:pStyle w:val="11"/>
            </w:pPr>
            <w:r>
              <w:t>281.47</w:t>
            </w:r>
          </w:p>
        </w:tc>
        <w:tc>
          <w:tcPr>
            <w:tcW w:w="1134" w:type="dxa"/>
            <w:vAlign w:val="center"/>
          </w:tcPr>
          <w:p>
            <w:pPr>
              <w:pStyle w:val="11"/>
            </w:pPr>
            <w:r>
              <w:t>281.47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281.47</w:t>
            </w:r>
          </w:p>
        </w:tc>
        <w:tc>
          <w:tcPr>
            <w:tcW w:w="1134" w:type="dxa"/>
            <w:vAlign w:val="center"/>
          </w:tcPr>
          <w:p>
            <w:pPr>
              <w:pStyle w:val="11"/>
            </w:pPr>
            <w:r>
              <w:t>281.47</w:t>
            </w:r>
          </w:p>
        </w:tc>
        <w:tc>
          <w:tcPr>
            <w:tcW w:w="1134" w:type="dxa"/>
            <w:vAlign w:val="center"/>
          </w:tcPr>
          <w:p>
            <w:pPr>
              <w:pStyle w:val="11"/>
            </w:pPr>
            <w:r>
              <w:t>281.47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7166.64</w:t>
            </w:r>
          </w:p>
        </w:tc>
        <w:tc>
          <w:tcPr>
            <w:tcW w:w="1361" w:type="dxa"/>
            <w:vAlign w:val="center"/>
          </w:tcPr>
          <w:p>
            <w:pPr>
              <w:pStyle w:val="15"/>
            </w:pPr>
            <w:r>
              <w:t>4503.74</w:t>
            </w:r>
          </w:p>
        </w:tc>
        <w:tc>
          <w:tcPr>
            <w:tcW w:w="1361" w:type="dxa"/>
            <w:vAlign w:val="center"/>
          </w:tcPr>
          <w:p>
            <w:pPr>
              <w:pStyle w:val="15"/>
            </w:pPr>
            <w:r>
              <w:t>2662.90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5989.91</w:t>
            </w:r>
          </w:p>
        </w:tc>
        <w:tc>
          <w:tcPr>
            <w:tcW w:w="1361" w:type="dxa"/>
            <w:vAlign w:val="center"/>
          </w:tcPr>
          <w:p>
            <w:pPr>
              <w:pStyle w:val="11"/>
            </w:pPr>
            <w:r>
              <w:t>3358.82</w:t>
            </w:r>
          </w:p>
        </w:tc>
        <w:tc>
          <w:tcPr>
            <w:tcW w:w="1361" w:type="dxa"/>
            <w:vAlign w:val="center"/>
          </w:tcPr>
          <w:p>
            <w:pPr>
              <w:pStyle w:val="11"/>
            </w:pPr>
            <w:r>
              <w:t>2631.09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5989.91</w:t>
            </w:r>
          </w:p>
        </w:tc>
        <w:tc>
          <w:tcPr>
            <w:tcW w:w="1361" w:type="dxa"/>
            <w:vAlign w:val="center"/>
          </w:tcPr>
          <w:p>
            <w:pPr>
              <w:pStyle w:val="11"/>
            </w:pPr>
            <w:r>
              <w:t>3358.82</w:t>
            </w:r>
          </w:p>
        </w:tc>
        <w:tc>
          <w:tcPr>
            <w:tcW w:w="1361" w:type="dxa"/>
            <w:vAlign w:val="center"/>
          </w:tcPr>
          <w:p>
            <w:pPr>
              <w:pStyle w:val="11"/>
            </w:pPr>
            <w:r>
              <w:t>2631.09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w:t>
            </w:r>
          </w:p>
        </w:tc>
        <w:tc>
          <w:tcPr>
            <w:tcW w:w="4536" w:type="dxa"/>
            <w:vAlign w:val="center"/>
          </w:tcPr>
          <w:p>
            <w:pPr>
              <w:pStyle w:val="12"/>
              <w:rPr>
                <w:highlight w:val="none"/>
              </w:rPr>
            </w:pPr>
            <w:r>
              <w:rPr>
                <w:highlight w:val="none"/>
              </w:rPr>
              <w:t>公共安全支出</w:t>
            </w:r>
          </w:p>
        </w:tc>
        <w:tc>
          <w:tcPr>
            <w:tcW w:w="1361" w:type="dxa"/>
            <w:vAlign w:val="center"/>
          </w:tcPr>
          <w:p>
            <w:pPr>
              <w:pStyle w:val="11"/>
            </w:pPr>
            <w:r>
              <w:t>31.81</w:t>
            </w:r>
          </w:p>
        </w:tc>
        <w:tc>
          <w:tcPr>
            <w:tcW w:w="1361" w:type="dxa"/>
            <w:vAlign w:val="center"/>
          </w:tcPr>
          <w:p>
            <w:pPr>
              <w:pStyle w:val="11"/>
            </w:pPr>
          </w:p>
        </w:tc>
        <w:tc>
          <w:tcPr>
            <w:tcW w:w="1361" w:type="dxa"/>
            <w:vAlign w:val="center"/>
          </w:tcPr>
          <w:p>
            <w:pPr>
              <w:pStyle w:val="11"/>
            </w:pPr>
            <w:r>
              <w:t>31.81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6" w:type="dxa"/>
            <w:vAlign w:val="center"/>
          </w:tcPr>
          <w:p>
            <w:pPr>
              <w:pStyle w:val="12"/>
              <w:rPr>
                <w:highlight w:val="none"/>
              </w:rPr>
            </w:pPr>
            <w:r>
              <w:rPr>
                <w:highlight w:val="none"/>
              </w:rPr>
              <w:t>社会保障和就业支出</w:t>
            </w:r>
          </w:p>
        </w:tc>
        <w:tc>
          <w:tcPr>
            <w:tcW w:w="1361" w:type="dxa"/>
            <w:vAlign w:val="center"/>
          </w:tcPr>
          <w:p>
            <w:pPr>
              <w:pStyle w:val="11"/>
            </w:pPr>
            <w:r>
              <w:t>527.43</w:t>
            </w:r>
          </w:p>
        </w:tc>
        <w:tc>
          <w:tcPr>
            <w:tcW w:w="1361" w:type="dxa"/>
            <w:vAlign w:val="center"/>
          </w:tcPr>
          <w:p>
            <w:pPr>
              <w:pStyle w:val="11"/>
            </w:pPr>
            <w:r>
              <w:t>527.43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6" w:type="dxa"/>
            <w:vAlign w:val="center"/>
          </w:tcPr>
          <w:p>
            <w:pPr>
              <w:pStyle w:val="12"/>
              <w:rPr>
                <w:highlight w:val="none"/>
              </w:rPr>
            </w:pPr>
            <w:r>
              <w:t>行政事业单位养老支出</w:t>
            </w:r>
          </w:p>
        </w:tc>
        <w:tc>
          <w:tcPr>
            <w:tcW w:w="1361" w:type="dxa"/>
            <w:vAlign w:val="center"/>
          </w:tcPr>
          <w:p>
            <w:pPr>
              <w:pStyle w:val="11"/>
            </w:pPr>
            <w:r>
              <w:t>527.43</w:t>
            </w:r>
          </w:p>
        </w:tc>
        <w:tc>
          <w:tcPr>
            <w:tcW w:w="1361" w:type="dxa"/>
            <w:vAlign w:val="center"/>
          </w:tcPr>
          <w:p>
            <w:pPr>
              <w:pStyle w:val="11"/>
            </w:pPr>
            <w:r>
              <w:t>527.43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6" w:type="dxa"/>
            <w:vAlign w:val="center"/>
          </w:tcPr>
          <w:p>
            <w:pPr>
              <w:pStyle w:val="12"/>
              <w:rPr>
                <w:highlight w:val="none"/>
              </w:rPr>
            </w:pPr>
            <w:r>
              <w:t>行政单位离退休</w:t>
            </w:r>
          </w:p>
        </w:tc>
        <w:tc>
          <w:tcPr>
            <w:tcW w:w="1361" w:type="dxa"/>
            <w:vAlign w:val="center"/>
          </w:tcPr>
          <w:p>
            <w:pPr>
              <w:pStyle w:val="11"/>
            </w:pPr>
            <w:r>
              <w:t>152.14</w:t>
            </w:r>
          </w:p>
        </w:tc>
        <w:tc>
          <w:tcPr>
            <w:tcW w:w="1361" w:type="dxa"/>
            <w:vAlign w:val="center"/>
          </w:tcPr>
          <w:p>
            <w:pPr>
              <w:pStyle w:val="11"/>
            </w:pPr>
            <w:r>
              <w:t>152.14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6" w:type="dxa"/>
            <w:vAlign w:val="center"/>
          </w:tcPr>
          <w:p>
            <w:pPr>
              <w:pStyle w:val="12"/>
              <w:rPr>
                <w:highlight w:val="yellow"/>
              </w:rPr>
            </w:pPr>
            <w:r>
              <w:t>机关事业单位基本养老保险缴费支出</w:t>
            </w:r>
          </w:p>
        </w:tc>
        <w:tc>
          <w:tcPr>
            <w:tcW w:w="1361" w:type="dxa"/>
            <w:vAlign w:val="center"/>
          </w:tcPr>
          <w:p>
            <w:pPr>
              <w:pStyle w:val="11"/>
            </w:pPr>
            <w:r>
              <w:t>375.29</w:t>
            </w:r>
          </w:p>
        </w:tc>
        <w:tc>
          <w:tcPr>
            <w:tcW w:w="1361" w:type="dxa"/>
            <w:vAlign w:val="center"/>
          </w:tcPr>
          <w:p>
            <w:pPr>
              <w:pStyle w:val="11"/>
            </w:pPr>
            <w:r>
              <w:t>375.29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6" w:type="dxa"/>
            <w:vAlign w:val="center"/>
          </w:tcPr>
          <w:p>
            <w:pPr>
              <w:pStyle w:val="12"/>
              <w:rPr>
                <w:highlight w:val="green"/>
              </w:rPr>
            </w:pPr>
            <w:r>
              <w:t>卫生健康支出</w:t>
            </w:r>
          </w:p>
        </w:tc>
        <w:tc>
          <w:tcPr>
            <w:tcW w:w="1361" w:type="dxa"/>
            <w:vAlign w:val="center"/>
          </w:tcPr>
          <w:p>
            <w:pPr>
              <w:pStyle w:val="11"/>
            </w:pPr>
            <w:r>
              <w:t>336.02</w:t>
            </w:r>
          </w:p>
        </w:tc>
        <w:tc>
          <w:tcPr>
            <w:tcW w:w="1361" w:type="dxa"/>
            <w:vAlign w:val="center"/>
          </w:tcPr>
          <w:p>
            <w:pPr>
              <w:pStyle w:val="11"/>
            </w:pPr>
            <w:r>
              <w:t>336.02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6" w:type="dxa"/>
            <w:vAlign w:val="center"/>
          </w:tcPr>
          <w:p>
            <w:pPr>
              <w:pStyle w:val="12"/>
              <w:rPr>
                <w:highlight w:val="green"/>
              </w:rPr>
            </w:pPr>
            <w:r>
              <w:t>行政事业单位医疗</w:t>
            </w:r>
          </w:p>
        </w:tc>
        <w:tc>
          <w:tcPr>
            <w:tcW w:w="1361" w:type="dxa"/>
            <w:vAlign w:val="center"/>
          </w:tcPr>
          <w:p>
            <w:pPr>
              <w:pStyle w:val="11"/>
            </w:pPr>
            <w:r>
              <w:t>336.02</w:t>
            </w:r>
          </w:p>
        </w:tc>
        <w:tc>
          <w:tcPr>
            <w:tcW w:w="1361" w:type="dxa"/>
            <w:vAlign w:val="center"/>
          </w:tcPr>
          <w:p>
            <w:pPr>
              <w:pStyle w:val="11"/>
            </w:pPr>
            <w:r>
              <w:t>336.02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6" w:type="dxa"/>
            <w:vAlign w:val="center"/>
          </w:tcPr>
          <w:p>
            <w:pPr>
              <w:pStyle w:val="12"/>
              <w:rPr>
                <w:highlight w:val="green"/>
              </w:rPr>
            </w:pPr>
            <w:r>
              <w:t>行政单位医疗</w:t>
            </w:r>
          </w:p>
        </w:tc>
        <w:tc>
          <w:tcPr>
            <w:tcW w:w="1361" w:type="dxa"/>
            <w:vAlign w:val="center"/>
          </w:tcPr>
          <w:p>
            <w:pPr>
              <w:pStyle w:val="11"/>
            </w:pPr>
            <w:r>
              <w:t>336.02</w:t>
            </w:r>
          </w:p>
        </w:tc>
        <w:tc>
          <w:tcPr>
            <w:tcW w:w="1361" w:type="dxa"/>
            <w:vAlign w:val="center"/>
          </w:tcPr>
          <w:p>
            <w:pPr>
              <w:pStyle w:val="11"/>
            </w:pPr>
            <w:r>
              <w:t>336.02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281.47</w:t>
            </w:r>
          </w:p>
        </w:tc>
        <w:tc>
          <w:tcPr>
            <w:tcW w:w="1361" w:type="dxa"/>
            <w:vAlign w:val="center"/>
          </w:tcPr>
          <w:p>
            <w:pPr>
              <w:pStyle w:val="11"/>
            </w:pPr>
            <w:r>
              <w:t>281.47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281.47</w:t>
            </w:r>
          </w:p>
        </w:tc>
        <w:tc>
          <w:tcPr>
            <w:tcW w:w="1361" w:type="dxa"/>
            <w:vAlign w:val="center"/>
          </w:tcPr>
          <w:p>
            <w:pPr>
              <w:pStyle w:val="11"/>
            </w:pPr>
            <w:r>
              <w:t>281.47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281.47</w:t>
            </w:r>
          </w:p>
        </w:tc>
        <w:tc>
          <w:tcPr>
            <w:tcW w:w="1361" w:type="dxa"/>
            <w:vAlign w:val="center"/>
          </w:tcPr>
          <w:p>
            <w:pPr>
              <w:pStyle w:val="11"/>
            </w:pPr>
            <w:r>
              <w:t>281.47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7134.83</w:t>
            </w:r>
          </w:p>
        </w:tc>
        <w:tc>
          <w:tcPr>
            <w:tcW w:w="3402" w:type="dxa"/>
            <w:vAlign w:val="center"/>
          </w:tcPr>
          <w:p>
            <w:pPr>
              <w:pStyle w:val="12"/>
            </w:pPr>
            <w:r>
              <w:t>一、一般公共服务支出</w:t>
            </w:r>
          </w:p>
        </w:tc>
        <w:tc>
          <w:tcPr>
            <w:tcW w:w="1474" w:type="dxa"/>
            <w:vAlign w:val="center"/>
          </w:tcPr>
          <w:p>
            <w:pPr>
              <w:pStyle w:val="11"/>
            </w:pPr>
            <w:r>
              <w:t>5989.91</w:t>
            </w:r>
          </w:p>
        </w:tc>
        <w:tc>
          <w:tcPr>
            <w:tcW w:w="1474" w:type="dxa"/>
            <w:vAlign w:val="center"/>
          </w:tcPr>
          <w:p>
            <w:pPr>
              <w:pStyle w:val="11"/>
            </w:pPr>
            <w:r>
              <w:t>5989.91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31.81</w:t>
            </w:r>
          </w:p>
        </w:tc>
        <w:tc>
          <w:tcPr>
            <w:tcW w:w="1474" w:type="dxa"/>
            <w:vAlign w:val="center"/>
          </w:tcPr>
          <w:p>
            <w:pPr>
              <w:pStyle w:val="11"/>
            </w:pPr>
            <w:r>
              <w:t>31.81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527.43</w:t>
            </w:r>
          </w:p>
        </w:tc>
        <w:tc>
          <w:tcPr>
            <w:tcW w:w="1474" w:type="dxa"/>
            <w:vAlign w:val="center"/>
          </w:tcPr>
          <w:p>
            <w:pPr>
              <w:pStyle w:val="11"/>
            </w:pPr>
            <w:r>
              <w:t>527.43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336.02</w:t>
            </w:r>
          </w:p>
        </w:tc>
        <w:tc>
          <w:tcPr>
            <w:tcW w:w="1474" w:type="dxa"/>
            <w:vAlign w:val="center"/>
          </w:tcPr>
          <w:p>
            <w:pPr>
              <w:pStyle w:val="11"/>
            </w:pPr>
            <w:r>
              <w:t>336.02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281.47</w:t>
            </w:r>
          </w:p>
        </w:tc>
        <w:tc>
          <w:tcPr>
            <w:tcW w:w="1474" w:type="dxa"/>
            <w:vAlign w:val="center"/>
          </w:tcPr>
          <w:p>
            <w:pPr>
              <w:pStyle w:val="11"/>
            </w:pPr>
            <w:r>
              <w:t>281.47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7134.83</w:t>
            </w:r>
          </w:p>
        </w:tc>
        <w:tc>
          <w:tcPr>
            <w:tcW w:w="3402" w:type="dxa"/>
            <w:vAlign w:val="center"/>
          </w:tcPr>
          <w:p>
            <w:pPr>
              <w:pStyle w:val="14"/>
            </w:pPr>
            <w:r>
              <w:t>本年支出合计</w:t>
            </w:r>
          </w:p>
        </w:tc>
        <w:tc>
          <w:tcPr>
            <w:tcW w:w="1474" w:type="dxa"/>
            <w:vAlign w:val="center"/>
          </w:tcPr>
          <w:p>
            <w:pPr>
              <w:pStyle w:val="15"/>
            </w:pPr>
            <w:r>
              <w:t>7166.64</w:t>
            </w:r>
          </w:p>
        </w:tc>
        <w:tc>
          <w:tcPr>
            <w:tcW w:w="1474" w:type="dxa"/>
            <w:vAlign w:val="center"/>
          </w:tcPr>
          <w:p>
            <w:pPr>
              <w:pStyle w:val="15"/>
            </w:pPr>
            <w:r>
              <w:t>7166.64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31.81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31.81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7166.64</w:t>
            </w:r>
          </w:p>
        </w:tc>
        <w:tc>
          <w:tcPr>
            <w:tcW w:w="3402" w:type="dxa"/>
            <w:vAlign w:val="center"/>
          </w:tcPr>
          <w:p>
            <w:pPr>
              <w:pStyle w:val="14"/>
            </w:pPr>
            <w:r>
              <w:t>支出总计</w:t>
            </w:r>
          </w:p>
        </w:tc>
        <w:tc>
          <w:tcPr>
            <w:tcW w:w="1474" w:type="dxa"/>
            <w:vAlign w:val="center"/>
          </w:tcPr>
          <w:p>
            <w:pPr>
              <w:pStyle w:val="15"/>
            </w:pPr>
            <w:r>
              <w:t>7166.64</w:t>
            </w:r>
          </w:p>
        </w:tc>
        <w:tc>
          <w:tcPr>
            <w:tcW w:w="1474" w:type="dxa"/>
            <w:vAlign w:val="center"/>
          </w:tcPr>
          <w:p>
            <w:pPr>
              <w:pStyle w:val="15"/>
            </w:pPr>
            <w:r>
              <w:t>7166.64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7166.64</w:t>
            </w:r>
          </w:p>
        </w:tc>
        <w:tc>
          <w:tcPr>
            <w:tcW w:w="2551" w:type="dxa"/>
            <w:vAlign w:val="center"/>
          </w:tcPr>
          <w:p>
            <w:pPr>
              <w:pStyle w:val="15"/>
            </w:pPr>
            <w:r>
              <w:t>4503.74</w:t>
            </w:r>
          </w:p>
        </w:tc>
        <w:tc>
          <w:tcPr>
            <w:tcW w:w="2551" w:type="dxa"/>
            <w:vAlign w:val="center"/>
          </w:tcPr>
          <w:p>
            <w:pPr>
              <w:pStyle w:val="15"/>
            </w:pPr>
            <w:r>
              <w:t>2662.90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5989.91</w:t>
            </w:r>
          </w:p>
        </w:tc>
        <w:tc>
          <w:tcPr>
            <w:tcW w:w="2551" w:type="dxa"/>
            <w:vAlign w:val="center"/>
          </w:tcPr>
          <w:p>
            <w:pPr>
              <w:pStyle w:val="11"/>
            </w:pPr>
            <w:r>
              <w:t>3358.82</w:t>
            </w:r>
          </w:p>
        </w:tc>
        <w:tc>
          <w:tcPr>
            <w:tcW w:w="2551" w:type="dxa"/>
            <w:vAlign w:val="center"/>
          </w:tcPr>
          <w:p>
            <w:pPr>
              <w:pStyle w:val="11"/>
            </w:pPr>
            <w:r>
              <w:t>2631.09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5989.91</w:t>
            </w:r>
          </w:p>
        </w:tc>
        <w:tc>
          <w:tcPr>
            <w:tcW w:w="2551" w:type="dxa"/>
            <w:vAlign w:val="center"/>
          </w:tcPr>
          <w:p>
            <w:pPr>
              <w:pStyle w:val="11"/>
            </w:pPr>
            <w:r>
              <w:t>3358.82</w:t>
            </w:r>
          </w:p>
        </w:tc>
        <w:tc>
          <w:tcPr>
            <w:tcW w:w="2551" w:type="dxa"/>
            <w:vAlign w:val="center"/>
          </w:tcPr>
          <w:p>
            <w:pPr>
              <w:pStyle w:val="11"/>
            </w:pPr>
            <w:r>
              <w:t>2631.09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w:t>
            </w:r>
          </w:p>
        </w:tc>
        <w:tc>
          <w:tcPr>
            <w:tcW w:w="4535" w:type="dxa"/>
            <w:vAlign w:val="center"/>
          </w:tcPr>
          <w:p>
            <w:pPr>
              <w:pStyle w:val="12"/>
              <w:rPr>
                <w:highlight w:val="none"/>
              </w:rPr>
            </w:pPr>
            <w:r>
              <w:rPr>
                <w:highlight w:val="none"/>
              </w:rPr>
              <w:t>公共安全支出</w:t>
            </w:r>
          </w:p>
        </w:tc>
        <w:tc>
          <w:tcPr>
            <w:tcW w:w="2551" w:type="dxa"/>
            <w:vAlign w:val="center"/>
          </w:tcPr>
          <w:p>
            <w:pPr>
              <w:pStyle w:val="11"/>
            </w:pPr>
            <w:r>
              <w:t>31.81</w:t>
            </w:r>
          </w:p>
        </w:tc>
        <w:tc>
          <w:tcPr>
            <w:tcW w:w="2551" w:type="dxa"/>
            <w:vAlign w:val="center"/>
          </w:tcPr>
          <w:p>
            <w:pPr>
              <w:pStyle w:val="11"/>
            </w:pPr>
          </w:p>
        </w:tc>
        <w:tc>
          <w:tcPr>
            <w:tcW w:w="2551" w:type="dxa"/>
            <w:vAlign w:val="center"/>
          </w:tcPr>
          <w:p>
            <w:pPr>
              <w:pStyle w:val="11"/>
            </w:pPr>
            <w:r>
              <w:t>31.81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rPr>
                <w:highlight w:val="none"/>
              </w:rPr>
            </w:pPr>
            <w:r>
              <w:t>社会保障和就业支出</w:t>
            </w:r>
          </w:p>
        </w:tc>
        <w:tc>
          <w:tcPr>
            <w:tcW w:w="2551" w:type="dxa"/>
            <w:vAlign w:val="center"/>
          </w:tcPr>
          <w:p>
            <w:pPr>
              <w:pStyle w:val="11"/>
            </w:pPr>
            <w:r>
              <w:t>527.43</w:t>
            </w:r>
          </w:p>
        </w:tc>
        <w:tc>
          <w:tcPr>
            <w:tcW w:w="2551" w:type="dxa"/>
            <w:vAlign w:val="center"/>
          </w:tcPr>
          <w:p>
            <w:pPr>
              <w:pStyle w:val="11"/>
            </w:pPr>
            <w:r>
              <w:t>527.43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rPr>
                <w:highlight w:val="none"/>
              </w:rPr>
            </w:pPr>
            <w:r>
              <w:t>行政事业单位养老支出</w:t>
            </w:r>
          </w:p>
        </w:tc>
        <w:tc>
          <w:tcPr>
            <w:tcW w:w="2551" w:type="dxa"/>
            <w:vAlign w:val="center"/>
          </w:tcPr>
          <w:p>
            <w:pPr>
              <w:pStyle w:val="11"/>
            </w:pPr>
            <w:r>
              <w:t>527.43</w:t>
            </w:r>
          </w:p>
        </w:tc>
        <w:tc>
          <w:tcPr>
            <w:tcW w:w="2551" w:type="dxa"/>
            <w:vAlign w:val="center"/>
          </w:tcPr>
          <w:p>
            <w:pPr>
              <w:pStyle w:val="11"/>
            </w:pPr>
            <w:r>
              <w:t>527.43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rPr>
                <w:highlight w:val="yellow"/>
              </w:rPr>
            </w:pPr>
            <w:r>
              <w:t>行政单位离退休</w:t>
            </w:r>
          </w:p>
        </w:tc>
        <w:tc>
          <w:tcPr>
            <w:tcW w:w="2551" w:type="dxa"/>
            <w:vAlign w:val="center"/>
          </w:tcPr>
          <w:p>
            <w:pPr>
              <w:pStyle w:val="11"/>
            </w:pPr>
            <w:r>
              <w:t>152.14</w:t>
            </w:r>
          </w:p>
        </w:tc>
        <w:tc>
          <w:tcPr>
            <w:tcW w:w="2551" w:type="dxa"/>
            <w:vAlign w:val="center"/>
          </w:tcPr>
          <w:p>
            <w:pPr>
              <w:pStyle w:val="11"/>
            </w:pPr>
            <w:r>
              <w:t>152.14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rPr>
                <w:highlight w:val="yellow"/>
              </w:rPr>
            </w:pPr>
            <w:r>
              <w:t>机关事业单位基本养老保险缴费支出</w:t>
            </w:r>
          </w:p>
        </w:tc>
        <w:tc>
          <w:tcPr>
            <w:tcW w:w="2551" w:type="dxa"/>
            <w:vAlign w:val="center"/>
          </w:tcPr>
          <w:p>
            <w:pPr>
              <w:pStyle w:val="11"/>
            </w:pPr>
            <w:r>
              <w:t>375.29</w:t>
            </w:r>
          </w:p>
        </w:tc>
        <w:tc>
          <w:tcPr>
            <w:tcW w:w="2551" w:type="dxa"/>
            <w:vAlign w:val="center"/>
          </w:tcPr>
          <w:p>
            <w:pPr>
              <w:pStyle w:val="11"/>
            </w:pPr>
            <w:r>
              <w:t>375.29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rPr>
                <w:highlight w:val="green"/>
              </w:rPr>
            </w:pPr>
            <w:r>
              <w:t>卫生健康支出</w:t>
            </w:r>
          </w:p>
        </w:tc>
        <w:tc>
          <w:tcPr>
            <w:tcW w:w="2551" w:type="dxa"/>
            <w:vAlign w:val="center"/>
          </w:tcPr>
          <w:p>
            <w:pPr>
              <w:pStyle w:val="11"/>
            </w:pPr>
            <w:r>
              <w:t>336.02</w:t>
            </w:r>
          </w:p>
        </w:tc>
        <w:tc>
          <w:tcPr>
            <w:tcW w:w="2551" w:type="dxa"/>
            <w:vAlign w:val="center"/>
          </w:tcPr>
          <w:p>
            <w:pPr>
              <w:pStyle w:val="11"/>
            </w:pPr>
            <w:r>
              <w:t>336.02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rPr>
                <w:highlight w:val="green"/>
              </w:rPr>
            </w:pPr>
            <w:r>
              <w:t>行政事业单位医疗</w:t>
            </w:r>
          </w:p>
        </w:tc>
        <w:tc>
          <w:tcPr>
            <w:tcW w:w="2551" w:type="dxa"/>
            <w:vAlign w:val="center"/>
          </w:tcPr>
          <w:p>
            <w:pPr>
              <w:pStyle w:val="11"/>
            </w:pPr>
            <w:r>
              <w:t>336.02</w:t>
            </w:r>
          </w:p>
        </w:tc>
        <w:tc>
          <w:tcPr>
            <w:tcW w:w="2551" w:type="dxa"/>
            <w:vAlign w:val="center"/>
          </w:tcPr>
          <w:p>
            <w:pPr>
              <w:pStyle w:val="11"/>
            </w:pPr>
            <w:r>
              <w:t>336.02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rPr>
                <w:highlight w:val="green"/>
              </w:rPr>
            </w:pPr>
            <w:r>
              <w:t>行政单位医疗</w:t>
            </w:r>
          </w:p>
        </w:tc>
        <w:tc>
          <w:tcPr>
            <w:tcW w:w="2551" w:type="dxa"/>
            <w:vAlign w:val="center"/>
          </w:tcPr>
          <w:p>
            <w:pPr>
              <w:pStyle w:val="11"/>
            </w:pPr>
            <w:r>
              <w:t>336.02</w:t>
            </w:r>
          </w:p>
        </w:tc>
        <w:tc>
          <w:tcPr>
            <w:tcW w:w="2551" w:type="dxa"/>
            <w:vAlign w:val="center"/>
          </w:tcPr>
          <w:p>
            <w:pPr>
              <w:pStyle w:val="11"/>
            </w:pPr>
            <w:r>
              <w:t>336.02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281.47</w:t>
            </w:r>
          </w:p>
        </w:tc>
        <w:tc>
          <w:tcPr>
            <w:tcW w:w="2551" w:type="dxa"/>
            <w:vAlign w:val="center"/>
          </w:tcPr>
          <w:p>
            <w:pPr>
              <w:pStyle w:val="11"/>
            </w:pPr>
            <w:r>
              <w:t>281.47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281.47</w:t>
            </w:r>
          </w:p>
        </w:tc>
        <w:tc>
          <w:tcPr>
            <w:tcW w:w="2551" w:type="dxa"/>
            <w:vAlign w:val="center"/>
          </w:tcPr>
          <w:p>
            <w:pPr>
              <w:pStyle w:val="11"/>
            </w:pPr>
            <w:r>
              <w:t>281.47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281.47</w:t>
            </w:r>
          </w:p>
        </w:tc>
        <w:tc>
          <w:tcPr>
            <w:tcW w:w="2551" w:type="dxa"/>
            <w:vAlign w:val="center"/>
          </w:tcPr>
          <w:p>
            <w:pPr>
              <w:pStyle w:val="11"/>
            </w:pPr>
            <w:r>
              <w:t>281.47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4503.74</w:t>
            </w:r>
          </w:p>
        </w:tc>
        <w:tc>
          <w:tcPr>
            <w:tcW w:w="2551" w:type="dxa"/>
            <w:vAlign w:val="center"/>
          </w:tcPr>
          <w:p>
            <w:pPr>
              <w:pStyle w:val="15"/>
            </w:pPr>
            <w:r>
              <w:t>3770.46</w:t>
            </w:r>
          </w:p>
        </w:tc>
        <w:tc>
          <w:tcPr>
            <w:tcW w:w="2551" w:type="dxa"/>
            <w:vAlign w:val="center"/>
          </w:tcPr>
          <w:p>
            <w:pPr>
              <w:pStyle w:val="15"/>
            </w:pPr>
            <w:r>
              <w:t>733.28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3630.29</w:t>
            </w:r>
          </w:p>
        </w:tc>
        <w:tc>
          <w:tcPr>
            <w:tcW w:w="2551" w:type="dxa"/>
            <w:vAlign w:val="center"/>
          </w:tcPr>
          <w:p>
            <w:pPr>
              <w:pStyle w:val="11"/>
            </w:pPr>
            <w:r>
              <w:t>3630.29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1314.97</w:t>
            </w:r>
          </w:p>
        </w:tc>
        <w:tc>
          <w:tcPr>
            <w:tcW w:w="2551" w:type="dxa"/>
            <w:vAlign w:val="center"/>
          </w:tcPr>
          <w:p>
            <w:pPr>
              <w:pStyle w:val="11"/>
            </w:pPr>
            <w:r>
              <w:t>1314.97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1201.23</w:t>
            </w:r>
          </w:p>
        </w:tc>
        <w:tc>
          <w:tcPr>
            <w:tcW w:w="2551" w:type="dxa"/>
            <w:vAlign w:val="center"/>
          </w:tcPr>
          <w:p>
            <w:pPr>
              <w:pStyle w:val="11"/>
            </w:pPr>
            <w:r>
              <w:t>1201.23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109.58</w:t>
            </w:r>
          </w:p>
        </w:tc>
        <w:tc>
          <w:tcPr>
            <w:tcW w:w="2551" w:type="dxa"/>
            <w:vAlign w:val="center"/>
          </w:tcPr>
          <w:p>
            <w:pPr>
              <w:pStyle w:val="11"/>
            </w:pPr>
            <w:r>
              <w:t>109.58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375.29</w:t>
            </w:r>
          </w:p>
        </w:tc>
        <w:tc>
          <w:tcPr>
            <w:tcW w:w="2551" w:type="dxa"/>
            <w:vAlign w:val="center"/>
          </w:tcPr>
          <w:p>
            <w:pPr>
              <w:pStyle w:val="11"/>
            </w:pPr>
            <w:r>
              <w:t>375.29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192.72</w:t>
            </w:r>
          </w:p>
        </w:tc>
        <w:tc>
          <w:tcPr>
            <w:tcW w:w="2551" w:type="dxa"/>
            <w:vAlign w:val="center"/>
          </w:tcPr>
          <w:p>
            <w:pPr>
              <w:pStyle w:val="11"/>
            </w:pPr>
            <w:r>
              <w:t>192.72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136.61</w:t>
            </w:r>
          </w:p>
        </w:tc>
        <w:tc>
          <w:tcPr>
            <w:tcW w:w="2551" w:type="dxa"/>
            <w:vAlign w:val="center"/>
          </w:tcPr>
          <w:p>
            <w:pPr>
              <w:pStyle w:val="11"/>
            </w:pPr>
            <w:r>
              <w:t>136.61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18.42</w:t>
            </w:r>
          </w:p>
        </w:tc>
        <w:tc>
          <w:tcPr>
            <w:tcW w:w="2551" w:type="dxa"/>
            <w:vAlign w:val="center"/>
          </w:tcPr>
          <w:p>
            <w:pPr>
              <w:pStyle w:val="11"/>
            </w:pPr>
            <w:r>
              <w:t>18.42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281.47</w:t>
            </w:r>
          </w:p>
        </w:tc>
        <w:tc>
          <w:tcPr>
            <w:tcW w:w="2551" w:type="dxa"/>
            <w:vAlign w:val="center"/>
          </w:tcPr>
          <w:p>
            <w:pPr>
              <w:pStyle w:val="11"/>
            </w:pPr>
            <w:r>
              <w:t>281.47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733.28</w:t>
            </w:r>
          </w:p>
        </w:tc>
        <w:tc>
          <w:tcPr>
            <w:tcW w:w="2551" w:type="dxa"/>
            <w:vAlign w:val="center"/>
          </w:tcPr>
          <w:p>
            <w:pPr>
              <w:pStyle w:val="11"/>
            </w:pPr>
          </w:p>
        </w:tc>
        <w:tc>
          <w:tcPr>
            <w:tcW w:w="2551" w:type="dxa"/>
            <w:vAlign w:val="center"/>
          </w:tcPr>
          <w:p>
            <w:pPr>
              <w:pStyle w:val="11"/>
            </w:pPr>
            <w:r>
              <w:t>733.28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9.17</w:t>
            </w:r>
          </w:p>
        </w:tc>
        <w:tc>
          <w:tcPr>
            <w:tcW w:w="2551" w:type="dxa"/>
            <w:vAlign w:val="center"/>
          </w:tcPr>
          <w:p>
            <w:pPr>
              <w:pStyle w:val="11"/>
            </w:pPr>
          </w:p>
        </w:tc>
        <w:tc>
          <w:tcPr>
            <w:tcW w:w="2551" w:type="dxa"/>
            <w:vAlign w:val="center"/>
          </w:tcPr>
          <w:p>
            <w:pPr>
              <w:pStyle w:val="11"/>
            </w:pPr>
            <w:r>
              <w:t>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162.87</w:t>
            </w:r>
          </w:p>
        </w:tc>
        <w:tc>
          <w:tcPr>
            <w:tcW w:w="2551" w:type="dxa"/>
            <w:vAlign w:val="center"/>
          </w:tcPr>
          <w:p>
            <w:pPr>
              <w:pStyle w:val="11"/>
            </w:pPr>
          </w:p>
        </w:tc>
        <w:tc>
          <w:tcPr>
            <w:tcW w:w="2551" w:type="dxa"/>
            <w:vAlign w:val="center"/>
          </w:tcPr>
          <w:p>
            <w:pPr>
              <w:pStyle w:val="11"/>
            </w:pPr>
            <w:r>
              <w:t>162.87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50.94</w:t>
            </w:r>
          </w:p>
        </w:tc>
        <w:tc>
          <w:tcPr>
            <w:tcW w:w="2551" w:type="dxa"/>
            <w:vAlign w:val="center"/>
          </w:tcPr>
          <w:p>
            <w:pPr>
              <w:pStyle w:val="11"/>
            </w:pPr>
          </w:p>
        </w:tc>
        <w:tc>
          <w:tcPr>
            <w:tcW w:w="2551" w:type="dxa"/>
            <w:vAlign w:val="center"/>
          </w:tcPr>
          <w:p>
            <w:pPr>
              <w:pStyle w:val="11"/>
            </w:pPr>
            <w:r>
              <w:t>50.94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91.62</w:t>
            </w:r>
          </w:p>
        </w:tc>
        <w:tc>
          <w:tcPr>
            <w:tcW w:w="2551" w:type="dxa"/>
            <w:vAlign w:val="center"/>
          </w:tcPr>
          <w:p>
            <w:pPr>
              <w:pStyle w:val="11"/>
            </w:pPr>
          </w:p>
        </w:tc>
        <w:tc>
          <w:tcPr>
            <w:tcW w:w="2551" w:type="dxa"/>
            <w:vAlign w:val="center"/>
          </w:tcPr>
          <w:p>
            <w:pPr>
              <w:pStyle w:val="11"/>
            </w:pPr>
            <w:r>
              <w:t>91.62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0.86</w:t>
            </w:r>
          </w:p>
        </w:tc>
        <w:tc>
          <w:tcPr>
            <w:tcW w:w="2551" w:type="dxa"/>
            <w:vAlign w:val="center"/>
          </w:tcPr>
          <w:p>
            <w:pPr>
              <w:pStyle w:val="11"/>
            </w:pPr>
          </w:p>
        </w:tc>
        <w:tc>
          <w:tcPr>
            <w:tcW w:w="2551" w:type="dxa"/>
            <w:vAlign w:val="center"/>
          </w:tcPr>
          <w:p>
            <w:pPr>
              <w:pStyle w:val="11"/>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4.32</w:t>
            </w:r>
          </w:p>
        </w:tc>
        <w:tc>
          <w:tcPr>
            <w:tcW w:w="2551" w:type="dxa"/>
            <w:vAlign w:val="center"/>
          </w:tcPr>
          <w:p>
            <w:pPr>
              <w:pStyle w:val="11"/>
            </w:pPr>
          </w:p>
        </w:tc>
        <w:tc>
          <w:tcPr>
            <w:tcW w:w="2551" w:type="dxa"/>
            <w:vAlign w:val="center"/>
          </w:tcPr>
          <w:p>
            <w:pPr>
              <w:pStyle w:val="11"/>
            </w:pPr>
            <w: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34.85</w:t>
            </w:r>
          </w:p>
        </w:tc>
        <w:tc>
          <w:tcPr>
            <w:tcW w:w="2551" w:type="dxa"/>
            <w:vAlign w:val="center"/>
          </w:tcPr>
          <w:p>
            <w:pPr>
              <w:pStyle w:val="11"/>
            </w:pPr>
          </w:p>
        </w:tc>
        <w:tc>
          <w:tcPr>
            <w:tcW w:w="2551" w:type="dxa"/>
            <w:vAlign w:val="center"/>
          </w:tcPr>
          <w:p>
            <w:pPr>
              <w:pStyle w:val="11"/>
            </w:pPr>
            <w:r>
              <w:t>34.85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6.32</w:t>
            </w:r>
          </w:p>
        </w:tc>
        <w:tc>
          <w:tcPr>
            <w:tcW w:w="2551" w:type="dxa"/>
            <w:vAlign w:val="center"/>
          </w:tcPr>
          <w:p>
            <w:pPr>
              <w:pStyle w:val="11"/>
            </w:pPr>
          </w:p>
        </w:tc>
        <w:tc>
          <w:tcPr>
            <w:tcW w:w="2551" w:type="dxa"/>
            <w:vAlign w:val="center"/>
          </w:tcPr>
          <w:p>
            <w:pPr>
              <w:pStyle w:val="11"/>
            </w:pPr>
            <w:r>
              <w:t>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30226</w:t>
            </w:r>
          </w:p>
        </w:tc>
        <w:tc>
          <w:tcPr>
            <w:tcW w:w="4535" w:type="dxa"/>
            <w:vAlign w:val="center"/>
          </w:tcPr>
          <w:p>
            <w:pPr>
              <w:pStyle w:val="12"/>
            </w:pPr>
            <w:r>
              <w:t>劳务费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46.46</w:t>
            </w:r>
          </w:p>
        </w:tc>
        <w:tc>
          <w:tcPr>
            <w:tcW w:w="2551" w:type="dxa"/>
            <w:vAlign w:val="center"/>
          </w:tcPr>
          <w:p>
            <w:pPr>
              <w:pStyle w:val="11"/>
            </w:pPr>
          </w:p>
        </w:tc>
        <w:tc>
          <w:tcPr>
            <w:tcW w:w="2551" w:type="dxa"/>
            <w:vAlign w:val="center"/>
          </w:tcPr>
          <w:p>
            <w:pPr>
              <w:pStyle w:val="11"/>
            </w:pPr>
            <w:r>
              <w:t>46.46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32.36</w:t>
            </w:r>
          </w:p>
        </w:tc>
        <w:tc>
          <w:tcPr>
            <w:tcW w:w="2551" w:type="dxa"/>
            <w:vAlign w:val="center"/>
          </w:tcPr>
          <w:p>
            <w:pPr>
              <w:pStyle w:val="11"/>
            </w:pPr>
          </w:p>
        </w:tc>
        <w:tc>
          <w:tcPr>
            <w:tcW w:w="2551" w:type="dxa"/>
            <w:vAlign w:val="center"/>
          </w:tcPr>
          <w:p>
            <w:pPr>
              <w:pStyle w:val="11"/>
            </w:pPr>
            <w:r>
              <w:t>32.36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3.83</w:t>
            </w:r>
          </w:p>
        </w:tc>
        <w:tc>
          <w:tcPr>
            <w:tcW w:w="2551" w:type="dxa"/>
            <w:vAlign w:val="center"/>
          </w:tcPr>
          <w:p>
            <w:pPr>
              <w:pStyle w:val="11"/>
            </w:pPr>
          </w:p>
        </w:tc>
        <w:tc>
          <w:tcPr>
            <w:tcW w:w="2551" w:type="dxa"/>
            <w:vAlign w:val="center"/>
          </w:tcPr>
          <w:p>
            <w:pPr>
              <w:pStyle w:val="11"/>
            </w:pPr>
            <w:r>
              <w:t>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252.02</w:t>
            </w:r>
          </w:p>
        </w:tc>
        <w:tc>
          <w:tcPr>
            <w:tcW w:w="2551" w:type="dxa"/>
            <w:vAlign w:val="center"/>
          </w:tcPr>
          <w:p>
            <w:pPr>
              <w:pStyle w:val="11"/>
            </w:pPr>
          </w:p>
        </w:tc>
        <w:tc>
          <w:tcPr>
            <w:tcW w:w="2551" w:type="dxa"/>
            <w:vAlign w:val="center"/>
          </w:tcPr>
          <w:p>
            <w:pPr>
              <w:pStyle w:val="11"/>
            </w:pPr>
            <w:r>
              <w:t>252.02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28.35</w:t>
            </w:r>
          </w:p>
        </w:tc>
        <w:tc>
          <w:tcPr>
            <w:tcW w:w="2551" w:type="dxa"/>
            <w:vAlign w:val="center"/>
          </w:tcPr>
          <w:p>
            <w:pPr>
              <w:pStyle w:val="11"/>
            </w:pPr>
          </w:p>
        </w:tc>
        <w:tc>
          <w:tcPr>
            <w:tcW w:w="2551" w:type="dxa"/>
            <w:vAlign w:val="center"/>
          </w:tcPr>
          <w:p>
            <w:pPr>
              <w:pStyle w:val="11"/>
            </w:pPr>
            <w:r>
              <w:t>28.35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140.16</w:t>
            </w:r>
          </w:p>
        </w:tc>
        <w:tc>
          <w:tcPr>
            <w:tcW w:w="2551" w:type="dxa"/>
            <w:vAlign w:val="center"/>
          </w:tcPr>
          <w:p>
            <w:pPr>
              <w:pStyle w:val="11"/>
            </w:pPr>
            <w:r>
              <w:t>140.16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56.21</w:t>
            </w:r>
          </w:p>
        </w:tc>
        <w:tc>
          <w:tcPr>
            <w:tcW w:w="2551" w:type="dxa"/>
            <w:vAlign w:val="center"/>
          </w:tcPr>
          <w:p>
            <w:pPr>
              <w:pStyle w:val="11"/>
            </w:pPr>
            <w:r>
              <w:t>56.21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80.37</w:t>
            </w:r>
          </w:p>
        </w:tc>
        <w:tc>
          <w:tcPr>
            <w:tcW w:w="2551" w:type="dxa"/>
            <w:vAlign w:val="center"/>
          </w:tcPr>
          <w:p>
            <w:pPr>
              <w:pStyle w:val="11"/>
            </w:pPr>
            <w:r>
              <w:t>80.37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0.95</w:t>
            </w:r>
          </w:p>
        </w:tc>
        <w:tc>
          <w:tcPr>
            <w:tcW w:w="2551" w:type="dxa"/>
            <w:vAlign w:val="center"/>
          </w:tcPr>
          <w:p>
            <w:pPr>
              <w:pStyle w:val="11"/>
            </w:pPr>
            <w:r>
              <w:t>0.95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0.43</w:t>
            </w:r>
          </w:p>
        </w:tc>
        <w:tc>
          <w:tcPr>
            <w:tcW w:w="2551" w:type="dxa"/>
            <w:vAlign w:val="center"/>
          </w:tcPr>
          <w:p>
            <w:pPr>
              <w:pStyle w:val="11"/>
            </w:pPr>
            <w:r>
              <w:t>0.43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2.20</w:t>
            </w:r>
          </w:p>
        </w:tc>
        <w:tc>
          <w:tcPr>
            <w:tcW w:w="2551" w:type="dxa"/>
            <w:vAlign w:val="center"/>
          </w:tcPr>
          <w:p>
            <w:pPr>
              <w:pStyle w:val="11"/>
            </w:pPr>
            <w:r>
              <w:t>2.20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106.15</w:t>
            </w:r>
          </w:p>
        </w:tc>
        <w:tc>
          <w:tcPr>
            <w:tcW w:w="2381" w:type="dxa"/>
            <w:vAlign w:val="center"/>
          </w:tcPr>
          <w:p>
            <w:pPr>
              <w:pStyle w:val="15"/>
            </w:pPr>
            <w:r>
              <w:t>106.15</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106.15</w:t>
            </w:r>
          </w:p>
        </w:tc>
        <w:tc>
          <w:tcPr>
            <w:tcW w:w="2381" w:type="dxa"/>
            <w:vAlign w:val="center"/>
          </w:tcPr>
          <w:p>
            <w:pPr>
              <w:pStyle w:val="11"/>
            </w:pPr>
            <w:r>
              <w:t>106.15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5</w:t>
            </w:r>
          </w:p>
        </w:tc>
        <w:tc>
          <w:tcPr>
            <w:tcW w:w="3798" w:type="dxa"/>
            <w:vAlign w:val="center"/>
          </w:tcPr>
          <w:p>
            <w:pPr>
              <w:pStyle w:val="12"/>
            </w:pPr>
            <w:r>
              <w:t>二、公务用车购置及运维费</w:t>
            </w:r>
          </w:p>
        </w:tc>
        <w:tc>
          <w:tcPr>
            <w:tcW w:w="2382" w:type="dxa"/>
            <w:vAlign w:val="center"/>
          </w:tcPr>
          <w:p>
            <w:pPr>
              <w:pStyle w:val="11"/>
            </w:pPr>
            <w:r>
              <w:t>99.83</w:t>
            </w:r>
          </w:p>
        </w:tc>
        <w:tc>
          <w:tcPr>
            <w:tcW w:w="2381" w:type="dxa"/>
            <w:vAlign w:val="center"/>
          </w:tcPr>
          <w:p>
            <w:pPr>
              <w:pStyle w:val="11"/>
            </w:pPr>
            <w:r>
              <w:t>99.83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7</w:t>
            </w:r>
          </w:p>
        </w:tc>
        <w:tc>
          <w:tcPr>
            <w:tcW w:w="3798" w:type="dxa"/>
            <w:vAlign w:val="center"/>
          </w:tcPr>
          <w:p>
            <w:pPr>
              <w:pStyle w:val="12"/>
            </w:pPr>
            <w:r>
              <w:t xml:space="preserve">          公务用车运行维护费</w:t>
            </w:r>
          </w:p>
        </w:tc>
        <w:tc>
          <w:tcPr>
            <w:tcW w:w="2382" w:type="dxa"/>
            <w:vAlign w:val="center"/>
          </w:tcPr>
          <w:p>
            <w:pPr>
              <w:pStyle w:val="11"/>
            </w:pPr>
            <w:r>
              <w:t>99.83</w:t>
            </w:r>
          </w:p>
        </w:tc>
        <w:tc>
          <w:tcPr>
            <w:tcW w:w="2381" w:type="dxa"/>
            <w:vAlign w:val="center"/>
          </w:tcPr>
          <w:p>
            <w:pPr>
              <w:pStyle w:val="11"/>
            </w:pPr>
            <w:r>
              <w:t>99.83</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val="en-US" w:eastAsia="zh-CN"/>
              </w:rPr>
            </w:pPr>
            <w:r>
              <w:rPr>
                <w:rFonts w:hint="eastAsia"/>
                <w:lang w:val="en-US" w:eastAsia="zh-CN"/>
              </w:rPr>
              <w:t>8</w:t>
            </w:r>
          </w:p>
        </w:tc>
        <w:tc>
          <w:tcPr>
            <w:tcW w:w="3798" w:type="dxa"/>
            <w:vAlign w:val="center"/>
          </w:tcPr>
          <w:p>
            <w:pPr>
              <w:pStyle w:val="12"/>
            </w:pPr>
            <w:r>
              <w:t>三、公务接待费</w:t>
            </w:r>
          </w:p>
        </w:tc>
        <w:tc>
          <w:tcPr>
            <w:tcW w:w="2382" w:type="dxa"/>
            <w:vAlign w:val="center"/>
          </w:tcPr>
          <w:p>
            <w:pPr>
              <w:pStyle w:val="11"/>
            </w:pPr>
            <w:r>
              <w:t>6.32</w:t>
            </w:r>
          </w:p>
        </w:tc>
        <w:tc>
          <w:tcPr>
            <w:tcW w:w="2381" w:type="dxa"/>
            <w:vAlign w:val="center"/>
          </w:tcPr>
          <w:p>
            <w:pPr>
              <w:pStyle w:val="11"/>
            </w:pPr>
            <w:r>
              <w:t>6.32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中共张家口市纪律检查委员会</w:t>
      </w:r>
      <w:r>
        <w:rPr>
          <w:rFonts w:hint="eastAsia" w:ascii="方正小标宋_GBK" w:hAnsi="方正小标宋_GBK" w:eastAsia="方正小标宋_GBK" w:cs="方正小标宋_GBK"/>
          <w:color w:val="000000"/>
          <w:sz w:val="44"/>
          <w:lang w:eastAsia="zh-CN"/>
        </w:rPr>
        <w:t>张家口市监察委员会</w:t>
      </w:r>
      <w:r>
        <w:rPr>
          <w:rFonts w:ascii="方正小标宋_GBK" w:hAnsi="方正小标宋_GBK" w:eastAsia="方正小标宋_GBK" w:cs="方正小标宋_GBK"/>
          <w:color w:val="000000"/>
          <w:sz w:val="44"/>
        </w:rPr>
        <w:t>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按照《预算法》、《地方预决算公开操作规程》和《关于进一步推进预算公开工作的实施意见》规定，现将中共张家口市纪律检查委员会</w:t>
      </w:r>
      <w:r>
        <w:rPr>
          <w:rFonts w:hint="eastAsia" w:eastAsia="方正仿宋_GBK"/>
          <w:color w:val="000000"/>
          <w:sz w:val="28"/>
          <w:lang w:eastAsia="zh-CN"/>
        </w:rPr>
        <w:t>张家口市监察委员会</w:t>
      </w:r>
      <w:r>
        <w:rPr>
          <w:rFonts w:eastAsia="方正仿宋_GBK"/>
          <w:color w:val="000000"/>
          <w:sz w:val="28"/>
        </w:rPr>
        <w:t>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负责全市党的纪律检查工作。贯彻落实党中央、省委和市委关于纪律检查工作的决策部署，维护党的章程和其他党内法规，检查党的路线方针政策和决议的执行情况，协助市委推进全面从严治党、加强党风建设和组织协调反腐败工作。</w:t>
      </w:r>
    </w:p>
    <w:p>
      <w:pPr>
        <w:pStyle w:val="25"/>
      </w:pPr>
      <w:r>
        <w:t>（二）依照党的章程和其他党内法规履行监督、执纪、问责职责。负责经常对党员进行遵守纪律的教育，作出关于维护党纪的决定；对市委工作机关、市委批准设立的党组（党委），各县（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5"/>
      </w:pPr>
      <w:r>
        <w:t>（三）支持配合巡视巡察工作。承担巡察整改日常监督责任，做好巡察整改督查督办工作，依规依纪依法处置巡视巡察移交的反映领导干部问题线索。</w:t>
      </w:r>
    </w:p>
    <w:p>
      <w:pPr>
        <w:pStyle w:val="25"/>
      </w:pPr>
      <w:r>
        <w:t>（四）负责全市监察工作。贯彻落实党中央、省委和市委关于监察工作的决策部署，维护宪法法律，依法对市委管理的行使公权力的公职人员进行监察，调查职务违法和职务犯罪，开展廉政建设和反腐败工作。</w:t>
      </w:r>
    </w:p>
    <w:p>
      <w:pPr>
        <w:pStyle w:val="25"/>
      </w:pPr>
      <w:r>
        <w:t>（五）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5"/>
      </w:pPr>
      <w:r>
        <w:t>（六）负责组织协调全面从严治党、党风廉政建设和反腐败宣传教育工作。</w:t>
      </w:r>
    </w:p>
    <w:p>
      <w:pPr>
        <w:pStyle w:val="25"/>
      </w:pPr>
      <w:r>
        <w:t>（七）负责综合分析全面从严治党、党风廉政建设和反腐败工作情况，对纪检监察工作重要理论及实践问题进行调查研究；参与起草纪检监察有关规范性文件。</w:t>
      </w:r>
    </w:p>
    <w:p>
      <w:pPr>
        <w:pStyle w:val="25"/>
      </w:pPr>
      <w:r>
        <w:t>（八）负责组织协调全市反腐败追逃追赃和防逃工作，督促有关单位做好相关工作。</w:t>
      </w:r>
    </w:p>
    <w:p>
      <w:pPr>
        <w:pStyle w:val="25"/>
      </w:pPr>
      <w:r>
        <w:t>（九）根据干部管理权限，负责全市纪检监察系统领导班子建设、干部队伍建设和组织建设的综合规划、政策研究、制度建设和业务指导；会同市委组织部负责市委巡察机构的处级干部提名、考察，报市委任免；根据干部管理权限负责市委巡察机构科级及以下干部人事工作。会同有关方面做好市纪委监委派驻机构、县级纪检监察机关、市管企业、市属院校和市管医院纪检监察机构领导班子建设有关工作；组织和指导全市纪检监察系统干部教育培训工作等。</w:t>
      </w:r>
    </w:p>
    <w:p>
      <w:pPr>
        <w:pStyle w:val="25"/>
      </w:pPr>
      <w:r>
        <w:t>（十）完成省纪委、省监委、市委交办的其他任务。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中共张家口市纪律检查委员会</w:t>
            </w:r>
            <w:r>
              <w:rPr>
                <w:rFonts w:hint="eastAsia"/>
                <w:lang w:eastAsia="zh-CN"/>
              </w:rPr>
              <w:t>张家口市监察委员会</w:t>
            </w:r>
            <w:r>
              <w:t>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1、收入说明</w:t>
      </w:r>
    </w:p>
    <w:p>
      <w:pPr>
        <w:pStyle w:val="26"/>
      </w:pPr>
      <w:r>
        <w:t>反映本单位当年全部收入。2022年预算收入7166.64万元，其中：一般公共预算收入7134.83万元，基金预算收入0万元，财政专户核拨收入0万元，单位资金收入0万元，上年结转结余31.81万元。</w:t>
      </w:r>
    </w:p>
    <w:p>
      <w:pPr>
        <w:pStyle w:val="26"/>
      </w:pPr>
      <w:r>
        <w:t>2、支出说明</w:t>
      </w:r>
    </w:p>
    <w:p>
      <w:pPr>
        <w:pStyle w:val="26"/>
      </w:pPr>
      <w:r>
        <w:t>收支预算总表支出栏、基本支出表、项目支出表按经济分类和支出功能分类科目编制，反映中共张家口市纪律检查委员会</w:t>
      </w:r>
      <w:r>
        <w:rPr>
          <w:rFonts w:hint="eastAsia"/>
          <w:lang w:eastAsia="zh-CN"/>
        </w:rPr>
        <w:t>张家口市监察委员会</w:t>
      </w:r>
      <w:r>
        <w:t>年度单位预算中支出预算的总体情况。2022年单位支出预算为7166.64万元，其中基本支出4503.74万元，包括人员经费3770.46万元和日常公用经费733.28万元；项目支出2662.90万元，主要为案件查办、留置案件保障及办案点运行费用，反腐败追逃追赃工作专项经费等。</w:t>
      </w:r>
    </w:p>
    <w:p>
      <w:pPr>
        <w:pStyle w:val="26"/>
      </w:pPr>
      <w:r>
        <w:t>3、比上年增减情况</w:t>
      </w:r>
    </w:p>
    <w:p>
      <w:pPr>
        <w:pStyle w:val="26"/>
      </w:pPr>
      <w:r>
        <w:t>2022年单位预算收支安排7166.64万元，较2021</w:t>
      </w:r>
      <w:r>
        <w:rPr>
          <w:rFonts w:hint="eastAsia"/>
          <w:lang w:eastAsia="zh-CN"/>
        </w:rPr>
        <w:t>预算</w:t>
      </w:r>
      <w:r>
        <w:t>年增加484.76万元，其中：基本支出增加345.06万元，主要是人员增加，人员经费和公用经费相应增加。项目支出增加139.70万元，主要是新增非税收入。</w:t>
      </w:r>
    </w:p>
    <w:p>
      <w:pPr>
        <w:spacing w:before="10" w:after="10"/>
        <w:ind w:firstLine="640"/>
        <w:outlineLvl w:val="5"/>
      </w:pPr>
      <w:r>
        <w:rPr>
          <w:rFonts w:ascii="黑体" w:hAnsi="黑体" w:eastAsia="黑体" w:cs="黑体"/>
          <w:color w:val="000000"/>
          <w:sz w:val="32"/>
        </w:rPr>
        <w:t>三、机关运行经费安排情况</w:t>
      </w:r>
    </w:p>
    <w:p>
      <w:pPr>
        <w:pStyle w:val="27"/>
      </w:pPr>
      <w:r>
        <w:t>2022年，我单位机关运行经费共计安排733.28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2022年，我单位财政拨款“三公”经费预算安排106.15万元，其中：因公出国（境）费0万元；公务用车购置及运维费99.83万元（其中：公务用车购置费0万元，公务用车运行维护费99.83万元)；公务接待费6.32万元</w:t>
      </w:r>
      <w:r>
        <w:rPr>
          <w:rFonts w:hint="eastAsia"/>
          <w:lang w:eastAsia="zh-CN"/>
        </w:rPr>
        <w:t>，与</w:t>
      </w:r>
      <w:r>
        <w:rPr>
          <w:rFonts w:hint="eastAsia"/>
          <w:lang w:val="en-US" w:eastAsia="zh-CN"/>
        </w:rPr>
        <w:t>2021年相比增加0.39万元。</w:t>
      </w:r>
      <w:r>
        <w:rPr>
          <w:rFonts w:hint="eastAsia"/>
          <w:lang w:eastAsia="zh-CN"/>
        </w:rPr>
        <w:t>其中：</w:t>
      </w:r>
      <w:r>
        <w:t>因公出国（境）费与上年持平，无增减变化;公务用车购置及运维费与上年持平，无增减变化。</w:t>
      </w:r>
      <w:r>
        <w:rPr>
          <w:rFonts w:hint="eastAsia"/>
          <w:lang w:eastAsia="zh-CN"/>
        </w:rPr>
        <w:t>主要是</w:t>
      </w:r>
      <w:r>
        <w:t>公务接待费增加0.39万元，主要原因是人员增加，公用经费—公务接待费相应增加。</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ind w:firstLine="560" w:firstLineChars="200"/>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uk-UA" w:bidi="ar-SA"/>
        </w:rPr>
        <w:t>按照预算公开有关要求，绩效文本中的涉密项目绩效目标不予公开。</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2022年，中共张家口市纪律检查委员会</w:t>
      </w:r>
      <w:r>
        <w:rPr>
          <w:rFonts w:hint="eastAsia" w:eastAsia="方正仿宋_GBK"/>
          <w:color w:val="000000"/>
          <w:sz w:val="28"/>
          <w:lang w:eastAsia="zh-CN"/>
        </w:rPr>
        <w:t>张家口市监察委员会</w:t>
      </w:r>
      <w:r>
        <w:rPr>
          <w:rFonts w:eastAsia="方正仿宋_GBK"/>
          <w:color w:val="000000"/>
          <w:sz w:val="28"/>
        </w:rPr>
        <w:t>本级安排政府采购预算115.00万元。具体内容见下表。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115.00</w:t>
            </w:r>
          </w:p>
        </w:tc>
        <w:tc>
          <w:tcPr>
            <w:tcW w:w="964" w:type="dxa"/>
            <w:vAlign w:val="center"/>
          </w:tcPr>
          <w:p>
            <w:pPr>
              <w:pStyle w:val="15"/>
            </w:pPr>
            <w:r>
              <w:t>115.00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中共张家口市纪律检查委员会</w:t>
            </w:r>
            <w:r>
              <w:rPr>
                <w:rFonts w:hint="eastAsia"/>
                <w:lang w:eastAsia="zh-CN"/>
              </w:rPr>
              <w:t>张家口市监察委员会</w:t>
            </w:r>
            <w:r>
              <w:t>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115.00</w:t>
            </w:r>
          </w:p>
        </w:tc>
        <w:tc>
          <w:tcPr>
            <w:tcW w:w="964" w:type="dxa"/>
            <w:vAlign w:val="center"/>
          </w:tcPr>
          <w:p>
            <w:pPr>
              <w:pStyle w:val="15"/>
            </w:pPr>
            <w:r>
              <w:t>115.00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市纪委监委工作保障经费</w:t>
            </w:r>
          </w:p>
        </w:tc>
        <w:tc>
          <w:tcPr>
            <w:tcW w:w="964" w:type="dxa"/>
            <w:vAlign w:val="center"/>
          </w:tcPr>
          <w:p>
            <w:pPr>
              <w:pStyle w:val="11"/>
            </w:pPr>
            <w:r>
              <w:t>976.00</w:t>
            </w:r>
          </w:p>
        </w:tc>
        <w:tc>
          <w:tcPr>
            <w:tcW w:w="1134" w:type="dxa"/>
            <w:vAlign w:val="center"/>
          </w:tcPr>
          <w:p>
            <w:pPr>
              <w:pStyle w:val="12"/>
              <w:rPr>
                <w:rFonts w:hint="eastAsia" w:eastAsia="方正书宋_GBK"/>
                <w:lang w:eastAsia="zh-CN"/>
              </w:rPr>
            </w:pPr>
            <w:r>
              <w:rPr>
                <w:rFonts w:hint="eastAsia"/>
                <w:lang w:eastAsia="zh-CN"/>
              </w:rPr>
              <w:t>其他办公消耗用品及类似物品</w:t>
            </w:r>
          </w:p>
        </w:tc>
        <w:tc>
          <w:tcPr>
            <w:tcW w:w="1134" w:type="dxa"/>
            <w:vAlign w:val="center"/>
          </w:tcPr>
          <w:p>
            <w:pPr>
              <w:pStyle w:val="12"/>
              <w:rPr>
                <w:rFonts w:hint="default" w:eastAsia="方正书宋_GBK"/>
                <w:lang w:val="en-US" w:eastAsia="zh-CN"/>
              </w:rPr>
            </w:pPr>
            <w:r>
              <w:t>A</w:t>
            </w:r>
            <w:r>
              <w:rPr>
                <w:rFonts w:hint="eastAsia"/>
                <w:lang w:val="en-US" w:eastAsia="zh-CN"/>
              </w:rPr>
              <w:t>0999</w:t>
            </w:r>
          </w:p>
        </w:tc>
        <w:tc>
          <w:tcPr>
            <w:tcW w:w="709" w:type="dxa"/>
            <w:vAlign w:val="center"/>
          </w:tcPr>
          <w:p>
            <w:pPr>
              <w:pStyle w:val="13"/>
              <w:rPr>
                <w:rFonts w:hint="eastAsia" w:eastAsia="方正书宋_GBK"/>
                <w:lang w:eastAsia="zh-CN"/>
              </w:rPr>
            </w:pPr>
            <w:r>
              <w:rPr>
                <w:rFonts w:hint="eastAsia"/>
                <w:lang w:eastAsia="zh-CN"/>
              </w:rPr>
              <w:t>项</w:t>
            </w:r>
          </w:p>
        </w:tc>
        <w:tc>
          <w:tcPr>
            <w:tcW w:w="850" w:type="dxa"/>
            <w:vAlign w:val="center"/>
          </w:tcPr>
          <w:p>
            <w:pPr>
              <w:pStyle w:val="11"/>
              <w:rPr>
                <w:rFonts w:hint="eastAsia" w:eastAsia="方正书宋_GBK"/>
                <w:lang w:eastAsia="zh-CN"/>
              </w:rPr>
            </w:pPr>
            <w:r>
              <w:rPr>
                <w:rFonts w:hint="eastAsia"/>
                <w:lang w:val="en-US" w:eastAsia="zh-CN"/>
              </w:rPr>
              <w:t>1</w:t>
            </w:r>
          </w:p>
        </w:tc>
        <w:tc>
          <w:tcPr>
            <w:tcW w:w="850" w:type="dxa"/>
            <w:vAlign w:val="center"/>
          </w:tcPr>
          <w:p>
            <w:pPr>
              <w:pStyle w:val="11"/>
              <w:rPr>
                <w:rFonts w:hint="default" w:eastAsia="方正书宋_GBK"/>
                <w:lang w:val="en-US" w:eastAsia="zh-CN"/>
              </w:rPr>
            </w:pPr>
            <w:r>
              <w:rPr>
                <w:rFonts w:hint="eastAsia"/>
                <w:lang w:val="en-US" w:eastAsia="zh-CN"/>
              </w:rPr>
              <w:t>50</w:t>
            </w:r>
          </w:p>
        </w:tc>
        <w:tc>
          <w:tcPr>
            <w:tcW w:w="964" w:type="dxa"/>
            <w:vAlign w:val="center"/>
          </w:tcPr>
          <w:p>
            <w:pPr>
              <w:pStyle w:val="11"/>
            </w:pPr>
            <w:r>
              <w:t>50.00</w:t>
            </w:r>
          </w:p>
        </w:tc>
        <w:tc>
          <w:tcPr>
            <w:tcW w:w="964" w:type="dxa"/>
            <w:vAlign w:val="center"/>
          </w:tcPr>
          <w:p>
            <w:pPr>
              <w:pStyle w:val="11"/>
            </w:pPr>
            <w:r>
              <w:t>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市委巡察工作经费</w:t>
            </w:r>
          </w:p>
        </w:tc>
        <w:tc>
          <w:tcPr>
            <w:tcW w:w="964" w:type="dxa"/>
            <w:vAlign w:val="center"/>
          </w:tcPr>
          <w:p>
            <w:pPr>
              <w:pStyle w:val="11"/>
            </w:pPr>
            <w:r>
              <w:t>292.00</w:t>
            </w:r>
          </w:p>
        </w:tc>
        <w:tc>
          <w:tcPr>
            <w:tcW w:w="1134" w:type="dxa"/>
            <w:vAlign w:val="center"/>
          </w:tcPr>
          <w:p>
            <w:pPr>
              <w:pStyle w:val="12"/>
            </w:pPr>
            <w:r>
              <w:rPr>
                <w:rFonts w:hint="eastAsia"/>
                <w:lang w:eastAsia="zh-CN"/>
              </w:rPr>
              <w:t>其他办公消耗用品及类似物品</w:t>
            </w:r>
          </w:p>
        </w:tc>
        <w:tc>
          <w:tcPr>
            <w:tcW w:w="1134" w:type="dxa"/>
            <w:vAlign w:val="center"/>
          </w:tcPr>
          <w:p>
            <w:pPr>
              <w:pStyle w:val="12"/>
              <w:rPr>
                <w:rFonts w:hint="default" w:eastAsia="方正书宋_GBK"/>
                <w:lang w:val="en-US" w:eastAsia="zh-CN"/>
              </w:rPr>
            </w:pPr>
            <w:r>
              <w:t>A0</w:t>
            </w:r>
            <w:r>
              <w:rPr>
                <w:rFonts w:hint="eastAsia"/>
                <w:lang w:val="en-US" w:eastAsia="zh-CN"/>
              </w:rPr>
              <w:t>999</w:t>
            </w:r>
          </w:p>
        </w:tc>
        <w:tc>
          <w:tcPr>
            <w:tcW w:w="709" w:type="dxa"/>
            <w:vAlign w:val="center"/>
          </w:tcPr>
          <w:p>
            <w:pPr>
              <w:pStyle w:val="13"/>
              <w:rPr>
                <w:rFonts w:hint="eastAsia" w:eastAsia="方正书宋_GBK"/>
                <w:lang w:eastAsia="zh-CN"/>
              </w:rPr>
            </w:pPr>
            <w:r>
              <w:rPr>
                <w:rFonts w:hint="eastAsia"/>
                <w:lang w:eastAsia="zh-CN"/>
              </w:rPr>
              <w:t>项</w:t>
            </w:r>
          </w:p>
        </w:tc>
        <w:tc>
          <w:tcPr>
            <w:tcW w:w="850" w:type="dxa"/>
            <w:vAlign w:val="center"/>
          </w:tcPr>
          <w:p>
            <w:pPr>
              <w:pStyle w:val="11"/>
              <w:rPr>
                <w:rFonts w:hint="eastAsia" w:eastAsia="方正书宋_GBK"/>
                <w:lang w:eastAsia="zh-CN"/>
              </w:rPr>
            </w:pPr>
            <w:r>
              <w:rPr>
                <w:rFonts w:hint="eastAsia"/>
                <w:lang w:val="en-US" w:eastAsia="zh-CN"/>
              </w:rPr>
              <w:t>1</w:t>
            </w:r>
          </w:p>
        </w:tc>
        <w:tc>
          <w:tcPr>
            <w:tcW w:w="850" w:type="dxa"/>
            <w:vAlign w:val="center"/>
          </w:tcPr>
          <w:p>
            <w:pPr>
              <w:pStyle w:val="11"/>
              <w:rPr>
                <w:rFonts w:hint="eastAsia" w:eastAsia="方正书宋_GBK"/>
                <w:lang w:eastAsia="zh-CN"/>
              </w:rPr>
            </w:pPr>
            <w:r>
              <w:rPr>
                <w:rFonts w:hint="eastAsia"/>
                <w:lang w:val="en-US" w:eastAsia="zh-CN"/>
              </w:rPr>
              <w:t>5</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信息技术保障工作经费</w:t>
            </w:r>
          </w:p>
        </w:tc>
        <w:tc>
          <w:tcPr>
            <w:tcW w:w="964" w:type="dxa"/>
            <w:vAlign w:val="center"/>
          </w:tcPr>
          <w:p>
            <w:pPr>
              <w:pStyle w:val="11"/>
            </w:pPr>
            <w:r>
              <w:t>110.00</w:t>
            </w:r>
          </w:p>
        </w:tc>
        <w:tc>
          <w:tcPr>
            <w:tcW w:w="1134" w:type="dxa"/>
            <w:vAlign w:val="center"/>
          </w:tcPr>
          <w:p>
            <w:pPr>
              <w:pStyle w:val="12"/>
            </w:pPr>
            <w:r>
              <w:t>其他运行维护服务</w:t>
            </w:r>
          </w:p>
        </w:tc>
        <w:tc>
          <w:tcPr>
            <w:tcW w:w="1134" w:type="dxa"/>
            <w:vAlign w:val="center"/>
          </w:tcPr>
          <w:p>
            <w:pPr>
              <w:pStyle w:val="12"/>
            </w:pPr>
            <w:r>
              <w:t>C020699</w:t>
            </w:r>
          </w:p>
        </w:tc>
        <w:tc>
          <w:tcPr>
            <w:tcW w:w="709" w:type="dxa"/>
            <w:vAlign w:val="center"/>
          </w:tcPr>
          <w:p>
            <w:pPr>
              <w:pStyle w:val="13"/>
              <w:rPr>
                <w:rFonts w:hint="eastAsia" w:eastAsia="方正书宋_GBK"/>
                <w:lang w:eastAsia="zh-CN"/>
              </w:rPr>
            </w:pPr>
            <w:r>
              <w:rPr>
                <w:rFonts w:hint="eastAsia"/>
                <w:lang w:eastAsia="zh-CN"/>
              </w:rPr>
              <w:t>项</w:t>
            </w:r>
          </w:p>
        </w:tc>
        <w:tc>
          <w:tcPr>
            <w:tcW w:w="850" w:type="dxa"/>
            <w:vAlign w:val="center"/>
          </w:tcPr>
          <w:p>
            <w:pPr>
              <w:pStyle w:val="11"/>
            </w:pPr>
            <w:r>
              <w:t>1</w:t>
            </w:r>
          </w:p>
        </w:tc>
        <w:tc>
          <w:tcPr>
            <w:tcW w:w="850" w:type="dxa"/>
            <w:vAlign w:val="center"/>
          </w:tcPr>
          <w:p>
            <w:pPr>
              <w:pStyle w:val="11"/>
            </w:pPr>
            <w:r>
              <w:t>60.00</w:t>
            </w:r>
          </w:p>
        </w:tc>
        <w:tc>
          <w:tcPr>
            <w:tcW w:w="964" w:type="dxa"/>
            <w:vAlign w:val="center"/>
          </w:tcPr>
          <w:p>
            <w:pPr>
              <w:pStyle w:val="11"/>
            </w:pPr>
            <w:r>
              <w:t>60.00</w:t>
            </w:r>
          </w:p>
        </w:tc>
        <w:tc>
          <w:tcPr>
            <w:tcW w:w="964" w:type="dxa"/>
            <w:vAlign w:val="center"/>
          </w:tcPr>
          <w:p>
            <w:pPr>
              <w:pStyle w:val="11"/>
            </w:pPr>
            <w:r>
              <w:t>60.00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中共张家口市纪律检查委员会</w:t>
      </w:r>
      <w:r>
        <w:rPr>
          <w:rFonts w:hint="eastAsia" w:eastAsia="方正仿宋_GBK"/>
          <w:color w:val="000000"/>
          <w:sz w:val="28"/>
          <w:lang w:eastAsia="zh-CN"/>
        </w:rPr>
        <w:t>张家口市监察委员会</w:t>
      </w:r>
      <w:r>
        <w:rPr>
          <w:rFonts w:eastAsia="方正仿宋_GBK"/>
          <w:color w:val="000000"/>
          <w:sz w:val="28"/>
        </w:rPr>
        <w:t>本级上年末固定资产金额为2636.26万元（详见下表）。本年度拟购置固定资产总额为55.00万元，已按要求列入政府采购预算，详见政府采购预算表。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222001中共张家口市纪律检查委员会</w:t>
            </w:r>
            <w:r>
              <w:rPr>
                <w:rFonts w:hint="eastAsia"/>
                <w:lang w:eastAsia="zh-CN"/>
              </w:rPr>
              <w:t>张家口市监察委员会</w:t>
            </w:r>
            <w:r>
              <w:t>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2636.26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2013</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1731</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14</w:t>
            </w:r>
          </w:p>
        </w:tc>
        <w:tc>
          <w:tcPr>
            <w:tcW w:w="2835" w:type="dxa"/>
            <w:vAlign w:val="center"/>
          </w:tcPr>
          <w:p>
            <w:pPr>
              <w:pStyle w:val="11"/>
            </w:pPr>
            <w:r>
              <w:t>432.40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164.28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2039.58</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21"/>
      <w:r>
        <w:rPr>
          <w:rFonts w:hint="eastAsia" w:ascii="方正小标宋_GBK" w:hAnsi="方正小标宋_GBK" w:eastAsia="方正小标宋_GBK" w:cs="方正小标宋_GBK"/>
          <w:color w:val="000000"/>
          <w:sz w:val="44"/>
          <w:lang w:eastAsia="zh-CN"/>
        </w:rPr>
        <w:t>二</w:t>
      </w:r>
      <w:r>
        <w:rPr>
          <w:rFonts w:ascii="方正小标宋_GBK" w:hAnsi="方正小标宋_GBK" w:eastAsia="方正小标宋_GBK" w:cs="方正小标宋_GBK"/>
          <w:color w:val="000000"/>
          <w:sz w:val="44"/>
        </w:rPr>
        <w:t>、张家口市廉政教育基地收支预算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222004张家口市廉政教育基地</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793.51</w:t>
            </w:r>
          </w:p>
        </w:tc>
        <w:tc>
          <w:tcPr>
            <w:tcW w:w="4535" w:type="dxa"/>
            <w:vAlign w:val="center"/>
          </w:tcPr>
          <w:p>
            <w:pPr>
              <w:pStyle w:val="12"/>
            </w:pPr>
            <w:r>
              <w:t>一、一般公共服务支出</w:t>
            </w:r>
          </w:p>
        </w:tc>
        <w:tc>
          <w:tcPr>
            <w:tcW w:w="2126" w:type="dxa"/>
            <w:vAlign w:val="center"/>
          </w:tcPr>
          <w:p>
            <w:pPr>
              <w:pStyle w:val="11"/>
            </w:pPr>
            <w:r>
              <w:t>1754.50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793.51</w:t>
            </w:r>
          </w:p>
        </w:tc>
        <w:tc>
          <w:tcPr>
            <w:tcW w:w="4535" w:type="dxa"/>
            <w:vAlign w:val="center"/>
          </w:tcPr>
          <w:p>
            <w:pPr>
              <w:pStyle w:val="14"/>
            </w:pPr>
            <w:r>
              <w:t>本年支出合计</w:t>
            </w:r>
          </w:p>
        </w:tc>
        <w:tc>
          <w:tcPr>
            <w:tcW w:w="2126" w:type="dxa"/>
            <w:vAlign w:val="center"/>
          </w:tcPr>
          <w:p>
            <w:pPr>
              <w:pStyle w:val="15"/>
            </w:pPr>
            <w:r>
              <w:t>1783.51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990.00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1783.51</w:t>
            </w:r>
          </w:p>
        </w:tc>
        <w:tc>
          <w:tcPr>
            <w:tcW w:w="4535" w:type="dxa"/>
            <w:vAlign w:val="center"/>
          </w:tcPr>
          <w:p>
            <w:pPr>
              <w:pStyle w:val="14"/>
            </w:pPr>
            <w:r>
              <w:t>支出总计</w:t>
            </w:r>
          </w:p>
        </w:tc>
        <w:tc>
          <w:tcPr>
            <w:tcW w:w="2126" w:type="dxa"/>
            <w:vAlign w:val="center"/>
          </w:tcPr>
          <w:p>
            <w:pPr>
              <w:pStyle w:val="15"/>
            </w:pPr>
            <w:r>
              <w:t>1783.51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222004张家口市廉政教育基地</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1783.51</w:t>
            </w:r>
          </w:p>
        </w:tc>
        <w:tc>
          <w:tcPr>
            <w:tcW w:w="1134" w:type="dxa"/>
            <w:vAlign w:val="center"/>
          </w:tcPr>
          <w:p>
            <w:pPr>
              <w:pStyle w:val="15"/>
            </w:pPr>
            <w:r>
              <w:t>793.51</w:t>
            </w:r>
          </w:p>
        </w:tc>
        <w:tc>
          <w:tcPr>
            <w:tcW w:w="1134" w:type="dxa"/>
            <w:vAlign w:val="center"/>
          </w:tcPr>
          <w:p>
            <w:pPr>
              <w:pStyle w:val="15"/>
            </w:pPr>
            <w:r>
              <w:t>793.51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990.00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1754.50</w:t>
            </w:r>
          </w:p>
        </w:tc>
        <w:tc>
          <w:tcPr>
            <w:tcW w:w="1134" w:type="dxa"/>
            <w:vAlign w:val="center"/>
          </w:tcPr>
          <w:p>
            <w:pPr>
              <w:pStyle w:val="11"/>
            </w:pPr>
            <w:r>
              <w:t>764.50</w:t>
            </w:r>
          </w:p>
        </w:tc>
        <w:tc>
          <w:tcPr>
            <w:tcW w:w="1134" w:type="dxa"/>
            <w:vAlign w:val="center"/>
          </w:tcPr>
          <w:p>
            <w:pPr>
              <w:pStyle w:val="11"/>
            </w:pPr>
            <w:r>
              <w:t>764.50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1754.50</w:t>
            </w:r>
          </w:p>
        </w:tc>
        <w:tc>
          <w:tcPr>
            <w:tcW w:w="1134" w:type="dxa"/>
            <w:vAlign w:val="center"/>
          </w:tcPr>
          <w:p>
            <w:pPr>
              <w:pStyle w:val="11"/>
            </w:pPr>
            <w:r>
              <w:t>764.50</w:t>
            </w:r>
          </w:p>
        </w:tc>
        <w:tc>
          <w:tcPr>
            <w:tcW w:w="1134" w:type="dxa"/>
            <w:vAlign w:val="center"/>
          </w:tcPr>
          <w:p>
            <w:pPr>
              <w:pStyle w:val="11"/>
            </w:pPr>
            <w:r>
              <w:t>764.50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rPr>
                <w:highlight w:val="yellow"/>
              </w:rPr>
            </w:pPr>
            <w:r>
              <w:t>208</w:t>
            </w:r>
          </w:p>
        </w:tc>
        <w:tc>
          <w:tcPr>
            <w:tcW w:w="1559" w:type="dxa"/>
            <w:vAlign w:val="center"/>
          </w:tcPr>
          <w:p>
            <w:pPr>
              <w:pStyle w:val="12"/>
              <w:rPr>
                <w:highlight w:val="yellow"/>
              </w:rPr>
            </w:pPr>
            <w:r>
              <w:t>社会保障和就业支出</w:t>
            </w:r>
          </w:p>
        </w:tc>
        <w:tc>
          <w:tcPr>
            <w:tcW w:w="1134" w:type="dxa"/>
            <w:vAlign w:val="center"/>
          </w:tcPr>
          <w:p>
            <w:pPr>
              <w:pStyle w:val="11"/>
            </w:pPr>
            <w:r>
              <w:t>11.41</w:t>
            </w:r>
          </w:p>
        </w:tc>
        <w:tc>
          <w:tcPr>
            <w:tcW w:w="1134" w:type="dxa"/>
            <w:vAlign w:val="center"/>
          </w:tcPr>
          <w:p>
            <w:pPr>
              <w:pStyle w:val="11"/>
            </w:pPr>
            <w:r>
              <w:t>11.41</w:t>
            </w:r>
          </w:p>
        </w:tc>
        <w:tc>
          <w:tcPr>
            <w:tcW w:w="1134" w:type="dxa"/>
            <w:vAlign w:val="center"/>
          </w:tcPr>
          <w:p>
            <w:pPr>
              <w:pStyle w:val="11"/>
            </w:pPr>
            <w:r>
              <w:t>11.41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11.41</w:t>
            </w:r>
          </w:p>
        </w:tc>
        <w:tc>
          <w:tcPr>
            <w:tcW w:w="1134" w:type="dxa"/>
            <w:vAlign w:val="center"/>
          </w:tcPr>
          <w:p>
            <w:pPr>
              <w:pStyle w:val="11"/>
            </w:pPr>
            <w:r>
              <w:t>11.41</w:t>
            </w:r>
          </w:p>
        </w:tc>
        <w:tc>
          <w:tcPr>
            <w:tcW w:w="1134" w:type="dxa"/>
            <w:vAlign w:val="center"/>
          </w:tcPr>
          <w:p>
            <w:pPr>
              <w:pStyle w:val="11"/>
            </w:pPr>
            <w:r>
              <w:t>11.41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11.41</w:t>
            </w:r>
          </w:p>
        </w:tc>
        <w:tc>
          <w:tcPr>
            <w:tcW w:w="1134" w:type="dxa"/>
            <w:vAlign w:val="center"/>
          </w:tcPr>
          <w:p>
            <w:pPr>
              <w:pStyle w:val="11"/>
            </w:pPr>
            <w:r>
              <w:t>11.41</w:t>
            </w:r>
          </w:p>
        </w:tc>
        <w:tc>
          <w:tcPr>
            <w:tcW w:w="1134" w:type="dxa"/>
            <w:vAlign w:val="center"/>
          </w:tcPr>
          <w:p>
            <w:pPr>
              <w:pStyle w:val="11"/>
            </w:pPr>
            <w:r>
              <w:t>11.41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r>
              <w:t>9.04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r>
              <w:t>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222004张家口市廉政教育基地</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1783.51</w:t>
            </w:r>
          </w:p>
        </w:tc>
        <w:tc>
          <w:tcPr>
            <w:tcW w:w="1361" w:type="dxa"/>
            <w:vAlign w:val="center"/>
          </w:tcPr>
          <w:p>
            <w:pPr>
              <w:pStyle w:val="15"/>
            </w:pPr>
            <w:r>
              <w:t>123.51</w:t>
            </w:r>
          </w:p>
        </w:tc>
        <w:tc>
          <w:tcPr>
            <w:tcW w:w="1361" w:type="dxa"/>
            <w:vAlign w:val="center"/>
          </w:tcPr>
          <w:p>
            <w:pPr>
              <w:pStyle w:val="15"/>
            </w:pPr>
            <w:r>
              <w:t>1660.00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1754.50</w:t>
            </w:r>
          </w:p>
        </w:tc>
        <w:tc>
          <w:tcPr>
            <w:tcW w:w="1361" w:type="dxa"/>
            <w:vAlign w:val="center"/>
          </w:tcPr>
          <w:p>
            <w:pPr>
              <w:pStyle w:val="11"/>
            </w:pPr>
            <w:r>
              <w:t>94.50</w:t>
            </w:r>
          </w:p>
        </w:tc>
        <w:tc>
          <w:tcPr>
            <w:tcW w:w="1361" w:type="dxa"/>
            <w:vAlign w:val="center"/>
          </w:tcPr>
          <w:p>
            <w:pPr>
              <w:pStyle w:val="11"/>
            </w:pPr>
            <w:r>
              <w:t>1660.00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1754.50</w:t>
            </w:r>
          </w:p>
        </w:tc>
        <w:tc>
          <w:tcPr>
            <w:tcW w:w="1361" w:type="dxa"/>
            <w:vAlign w:val="center"/>
          </w:tcPr>
          <w:p>
            <w:pPr>
              <w:pStyle w:val="11"/>
            </w:pPr>
            <w:r>
              <w:t>94.50</w:t>
            </w:r>
          </w:p>
        </w:tc>
        <w:tc>
          <w:tcPr>
            <w:tcW w:w="1361" w:type="dxa"/>
            <w:vAlign w:val="center"/>
          </w:tcPr>
          <w:p>
            <w:pPr>
              <w:pStyle w:val="11"/>
            </w:pPr>
            <w:r>
              <w:t>1660.00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rPr>
                <w:highlight w:val="yellow"/>
              </w:rPr>
            </w:pPr>
            <w:r>
              <w:t>208</w:t>
            </w:r>
          </w:p>
        </w:tc>
        <w:tc>
          <w:tcPr>
            <w:tcW w:w="4536" w:type="dxa"/>
            <w:vAlign w:val="center"/>
          </w:tcPr>
          <w:p>
            <w:pPr>
              <w:pStyle w:val="12"/>
              <w:rPr>
                <w:highlight w:val="yellow"/>
              </w:rPr>
            </w:pPr>
            <w:r>
              <w:t>社会保障和就业支出</w:t>
            </w:r>
          </w:p>
        </w:tc>
        <w:tc>
          <w:tcPr>
            <w:tcW w:w="1361" w:type="dxa"/>
            <w:vAlign w:val="center"/>
          </w:tcPr>
          <w:p>
            <w:pPr>
              <w:pStyle w:val="11"/>
            </w:pPr>
            <w:r>
              <w:t>11.41</w:t>
            </w:r>
          </w:p>
        </w:tc>
        <w:tc>
          <w:tcPr>
            <w:tcW w:w="1361" w:type="dxa"/>
            <w:vAlign w:val="center"/>
          </w:tcPr>
          <w:p>
            <w:pPr>
              <w:pStyle w:val="11"/>
            </w:pPr>
            <w:r>
              <w:t>11.41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11.41</w:t>
            </w:r>
          </w:p>
        </w:tc>
        <w:tc>
          <w:tcPr>
            <w:tcW w:w="1361" w:type="dxa"/>
            <w:vAlign w:val="center"/>
          </w:tcPr>
          <w:p>
            <w:pPr>
              <w:pStyle w:val="11"/>
            </w:pPr>
            <w:r>
              <w:t>11.41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11.41</w:t>
            </w:r>
          </w:p>
        </w:tc>
        <w:tc>
          <w:tcPr>
            <w:tcW w:w="1361" w:type="dxa"/>
            <w:vAlign w:val="center"/>
          </w:tcPr>
          <w:p>
            <w:pPr>
              <w:pStyle w:val="11"/>
            </w:pPr>
            <w:r>
              <w:t>11.41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9.04</w:t>
            </w:r>
          </w:p>
        </w:tc>
        <w:tc>
          <w:tcPr>
            <w:tcW w:w="1361" w:type="dxa"/>
            <w:vAlign w:val="center"/>
          </w:tcPr>
          <w:p>
            <w:pPr>
              <w:pStyle w:val="11"/>
            </w:pPr>
            <w:r>
              <w:t>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9.04</w:t>
            </w:r>
          </w:p>
        </w:tc>
        <w:tc>
          <w:tcPr>
            <w:tcW w:w="1361" w:type="dxa"/>
            <w:vAlign w:val="center"/>
          </w:tcPr>
          <w:p>
            <w:pPr>
              <w:pStyle w:val="11"/>
            </w:pPr>
            <w:r>
              <w:t>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9.04</w:t>
            </w:r>
          </w:p>
        </w:tc>
        <w:tc>
          <w:tcPr>
            <w:tcW w:w="1361" w:type="dxa"/>
            <w:vAlign w:val="center"/>
          </w:tcPr>
          <w:p>
            <w:pPr>
              <w:pStyle w:val="11"/>
            </w:pPr>
            <w:r>
              <w:t>9.04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8.56</w:t>
            </w:r>
          </w:p>
        </w:tc>
        <w:tc>
          <w:tcPr>
            <w:tcW w:w="1361" w:type="dxa"/>
            <w:vAlign w:val="center"/>
          </w:tcPr>
          <w:p>
            <w:pPr>
              <w:pStyle w:val="11"/>
            </w:pPr>
            <w:r>
              <w:t>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222004张家口市廉政教育基地</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793.51</w:t>
            </w:r>
          </w:p>
        </w:tc>
        <w:tc>
          <w:tcPr>
            <w:tcW w:w="3402" w:type="dxa"/>
            <w:vAlign w:val="center"/>
          </w:tcPr>
          <w:p>
            <w:pPr>
              <w:pStyle w:val="12"/>
            </w:pPr>
            <w:r>
              <w:t>一、一般公共服务支出</w:t>
            </w:r>
          </w:p>
        </w:tc>
        <w:tc>
          <w:tcPr>
            <w:tcW w:w="1474" w:type="dxa"/>
            <w:vAlign w:val="center"/>
          </w:tcPr>
          <w:p>
            <w:pPr>
              <w:pStyle w:val="11"/>
            </w:pPr>
            <w:r>
              <w:t>1754.50</w:t>
            </w:r>
          </w:p>
        </w:tc>
        <w:tc>
          <w:tcPr>
            <w:tcW w:w="1474" w:type="dxa"/>
            <w:vAlign w:val="center"/>
          </w:tcPr>
          <w:p>
            <w:pPr>
              <w:pStyle w:val="11"/>
            </w:pPr>
            <w:r>
              <w:t>1754.50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11.41</w:t>
            </w:r>
          </w:p>
        </w:tc>
        <w:tc>
          <w:tcPr>
            <w:tcW w:w="1474" w:type="dxa"/>
            <w:vAlign w:val="center"/>
          </w:tcPr>
          <w:p>
            <w:pPr>
              <w:pStyle w:val="11"/>
            </w:pPr>
            <w:r>
              <w:t>11.41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9.04</w:t>
            </w:r>
          </w:p>
        </w:tc>
        <w:tc>
          <w:tcPr>
            <w:tcW w:w="1474" w:type="dxa"/>
            <w:vAlign w:val="center"/>
          </w:tcPr>
          <w:p>
            <w:pPr>
              <w:pStyle w:val="11"/>
            </w:pPr>
            <w:r>
              <w:t>9.04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8.56</w:t>
            </w:r>
          </w:p>
        </w:tc>
        <w:tc>
          <w:tcPr>
            <w:tcW w:w="1474" w:type="dxa"/>
            <w:vAlign w:val="center"/>
          </w:tcPr>
          <w:p>
            <w:pPr>
              <w:pStyle w:val="11"/>
            </w:pPr>
            <w:r>
              <w:t>8.56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793.51</w:t>
            </w:r>
          </w:p>
        </w:tc>
        <w:tc>
          <w:tcPr>
            <w:tcW w:w="3402" w:type="dxa"/>
            <w:vAlign w:val="center"/>
          </w:tcPr>
          <w:p>
            <w:pPr>
              <w:pStyle w:val="14"/>
            </w:pPr>
            <w:r>
              <w:t>本年支出合计</w:t>
            </w:r>
          </w:p>
        </w:tc>
        <w:tc>
          <w:tcPr>
            <w:tcW w:w="1474" w:type="dxa"/>
            <w:vAlign w:val="center"/>
          </w:tcPr>
          <w:p>
            <w:pPr>
              <w:pStyle w:val="15"/>
            </w:pPr>
            <w:r>
              <w:t>1783.51</w:t>
            </w:r>
          </w:p>
        </w:tc>
        <w:tc>
          <w:tcPr>
            <w:tcW w:w="1474" w:type="dxa"/>
            <w:vAlign w:val="center"/>
          </w:tcPr>
          <w:p>
            <w:pPr>
              <w:pStyle w:val="15"/>
            </w:pPr>
            <w:r>
              <w:t>1783.51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990.00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990.00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1783.51</w:t>
            </w:r>
          </w:p>
        </w:tc>
        <w:tc>
          <w:tcPr>
            <w:tcW w:w="3402" w:type="dxa"/>
            <w:vAlign w:val="center"/>
          </w:tcPr>
          <w:p>
            <w:pPr>
              <w:pStyle w:val="14"/>
            </w:pPr>
            <w:r>
              <w:t>支出总计</w:t>
            </w:r>
          </w:p>
        </w:tc>
        <w:tc>
          <w:tcPr>
            <w:tcW w:w="1474" w:type="dxa"/>
            <w:vAlign w:val="center"/>
          </w:tcPr>
          <w:p>
            <w:pPr>
              <w:pStyle w:val="15"/>
            </w:pPr>
            <w:r>
              <w:t>1783.51</w:t>
            </w:r>
          </w:p>
        </w:tc>
        <w:tc>
          <w:tcPr>
            <w:tcW w:w="1474" w:type="dxa"/>
            <w:vAlign w:val="center"/>
          </w:tcPr>
          <w:p>
            <w:pPr>
              <w:pStyle w:val="15"/>
            </w:pPr>
            <w:r>
              <w:t>1783.51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222004张家口市廉政教育基地</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1783.51</w:t>
            </w:r>
          </w:p>
        </w:tc>
        <w:tc>
          <w:tcPr>
            <w:tcW w:w="2551" w:type="dxa"/>
            <w:vAlign w:val="center"/>
          </w:tcPr>
          <w:p>
            <w:pPr>
              <w:pStyle w:val="15"/>
            </w:pPr>
            <w:r>
              <w:t>123.51</w:t>
            </w:r>
          </w:p>
        </w:tc>
        <w:tc>
          <w:tcPr>
            <w:tcW w:w="2551" w:type="dxa"/>
            <w:vAlign w:val="center"/>
          </w:tcPr>
          <w:p>
            <w:pPr>
              <w:pStyle w:val="15"/>
            </w:pPr>
            <w:r>
              <w:t>1660.00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1754.50</w:t>
            </w:r>
          </w:p>
        </w:tc>
        <w:tc>
          <w:tcPr>
            <w:tcW w:w="2551" w:type="dxa"/>
            <w:vAlign w:val="center"/>
          </w:tcPr>
          <w:p>
            <w:pPr>
              <w:pStyle w:val="11"/>
            </w:pPr>
            <w:r>
              <w:t>94.50</w:t>
            </w:r>
          </w:p>
        </w:tc>
        <w:tc>
          <w:tcPr>
            <w:tcW w:w="2551" w:type="dxa"/>
            <w:vAlign w:val="center"/>
          </w:tcPr>
          <w:p>
            <w:pPr>
              <w:pStyle w:val="11"/>
            </w:pPr>
            <w:r>
              <w:t>1660.00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1754.50</w:t>
            </w:r>
          </w:p>
        </w:tc>
        <w:tc>
          <w:tcPr>
            <w:tcW w:w="2551" w:type="dxa"/>
            <w:vAlign w:val="center"/>
          </w:tcPr>
          <w:p>
            <w:pPr>
              <w:pStyle w:val="11"/>
            </w:pPr>
            <w:r>
              <w:t>94.50</w:t>
            </w:r>
          </w:p>
        </w:tc>
        <w:tc>
          <w:tcPr>
            <w:tcW w:w="2551" w:type="dxa"/>
            <w:vAlign w:val="center"/>
          </w:tcPr>
          <w:p>
            <w:pPr>
              <w:pStyle w:val="11"/>
            </w:pPr>
            <w:r>
              <w:t>1660.00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rPr>
                <w:highlight w:val="yellow"/>
              </w:rPr>
            </w:pPr>
            <w:r>
              <w:t>208</w:t>
            </w:r>
          </w:p>
        </w:tc>
        <w:tc>
          <w:tcPr>
            <w:tcW w:w="4535" w:type="dxa"/>
            <w:vAlign w:val="center"/>
          </w:tcPr>
          <w:p>
            <w:pPr>
              <w:pStyle w:val="12"/>
              <w:rPr>
                <w:highlight w:val="yellow"/>
              </w:rPr>
            </w:pPr>
            <w:r>
              <w:t>社会保障和就业支出</w:t>
            </w:r>
          </w:p>
        </w:tc>
        <w:tc>
          <w:tcPr>
            <w:tcW w:w="2551" w:type="dxa"/>
            <w:vAlign w:val="center"/>
          </w:tcPr>
          <w:p>
            <w:pPr>
              <w:pStyle w:val="11"/>
            </w:pPr>
            <w:r>
              <w:t>11.41</w:t>
            </w:r>
          </w:p>
        </w:tc>
        <w:tc>
          <w:tcPr>
            <w:tcW w:w="2551" w:type="dxa"/>
            <w:vAlign w:val="center"/>
          </w:tcPr>
          <w:p>
            <w:pPr>
              <w:pStyle w:val="11"/>
            </w:pPr>
            <w:r>
              <w:t>11.41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11.41</w:t>
            </w:r>
          </w:p>
        </w:tc>
        <w:tc>
          <w:tcPr>
            <w:tcW w:w="2551" w:type="dxa"/>
            <w:vAlign w:val="center"/>
          </w:tcPr>
          <w:p>
            <w:pPr>
              <w:pStyle w:val="11"/>
            </w:pPr>
            <w:r>
              <w:t>11.41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11.41</w:t>
            </w:r>
          </w:p>
        </w:tc>
        <w:tc>
          <w:tcPr>
            <w:tcW w:w="2551" w:type="dxa"/>
            <w:vAlign w:val="center"/>
          </w:tcPr>
          <w:p>
            <w:pPr>
              <w:pStyle w:val="11"/>
            </w:pPr>
            <w:r>
              <w:t>11.41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9.04</w:t>
            </w:r>
          </w:p>
        </w:tc>
        <w:tc>
          <w:tcPr>
            <w:tcW w:w="2551" w:type="dxa"/>
            <w:vAlign w:val="center"/>
          </w:tcPr>
          <w:p>
            <w:pPr>
              <w:pStyle w:val="11"/>
            </w:pPr>
            <w:r>
              <w:t>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9.04</w:t>
            </w:r>
          </w:p>
        </w:tc>
        <w:tc>
          <w:tcPr>
            <w:tcW w:w="2551" w:type="dxa"/>
            <w:vAlign w:val="center"/>
          </w:tcPr>
          <w:p>
            <w:pPr>
              <w:pStyle w:val="11"/>
            </w:pPr>
            <w:r>
              <w:t>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9.04</w:t>
            </w:r>
          </w:p>
        </w:tc>
        <w:tc>
          <w:tcPr>
            <w:tcW w:w="2551" w:type="dxa"/>
            <w:vAlign w:val="center"/>
          </w:tcPr>
          <w:p>
            <w:pPr>
              <w:pStyle w:val="11"/>
            </w:pPr>
            <w:r>
              <w:t>9.04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222004张家口市廉政教育基地</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123.51</w:t>
            </w:r>
          </w:p>
        </w:tc>
        <w:tc>
          <w:tcPr>
            <w:tcW w:w="2551" w:type="dxa"/>
            <w:vAlign w:val="center"/>
          </w:tcPr>
          <w:p>
            <w:pPr>
              <w:pStyle w:val="15"/>
            </w:pPr>
            <w:r>
              <w:t>106.58</w:t>
            </w:r>
          </w:p>
        </w:tc>
        <w:tc>
          <w:tcPr>
            <w:tcW w:w="2551" w:type="dxa"/>
            <w:vAlign w:val="center"/>
          </w:tcPr>
          <w:p>
            <w:pPr>
              <w:pStyle w:val="15"/>
            </w:pPr>
            <w:r>
              <w:t>16.93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106.58</w:t>
            </w:r>
          </w:p>
        </w:tc>
        <w:tc>
          <w:tcPr>
            <w:tcW w:w="2551" w:type="dxa"/>
            <w:vAlign w:val="center"/>
          </w:tcPr>
          <w:p>
            <w:pPr>
              <w:pStyle w:val="11"/>
            </w:pPr>
            <w:r>
              <w:t>106.58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34.06</w:t>
            </w:r>
          </w:p>
        </w:tc>
        <w:tc>
          <w:tcPr>
            <w:tcW w:w="2551" w:type="dxa"/>
            <w:vAlign w:val="center"/>
          </w:tcPr>
          <w:p>
            <w:pPr>
              <w:pStyle w:val="11"/>
            </w:pPr>
            <w:r>
              <w:t>34.06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8.05</w:t>
            </w:r>
          </w:p>
        </w:tc>
        <w:tc>
          <w:tcPr>
            <w:tcW w:w="2551" w:type="dxa"/>
            <w:vAlign w:val="center"/>
          </w:tcPr>
          <w:p>
            <w:pPr>
              <w:pStyle w:val="11"/>
            </w:pPr>
            <w:r>
              <w:t>8.05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34.61</w:t>
            </w:r>
          </w:p>
        </w:tc>
        <w:tc>
          <w:tcPr>
            <w:tcW w:w="2551" w:type="dxa"/>
            <w:vAlign w:val="center"/>
          </w:tcPr>
          <w:p>
            <w:pPr>
              <w:pStyle w:val="11"/>
            </w:pPr>
            <w:r>
              <w:t>34.61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11.41</w:t>
            </w:r>
          </w:p>
        </w:tc>
        <w:tc>
          <w:tcPr>
            <w:tcW w:w="2551" w:type="dxa"/>
            <w:vAlign w:val="center"/>
          </w:tcPr>
          <w:p>
            <w:pPr>
              <w:pStyle w:val="11"/>
            </w:pPr>
            <w:r>
              <w:t>11.41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5.63</w:t>
            </w:r>
          </w:p>
        </w:tc>
        <w:tc>
          <w:tcPr>
            <w:tcW w:w="2551" w:type="dxa"/>
            <w:vAlign w:val="center"/>
          </w:tcPr>
          <w:p>
            <w:pPr>
              <w:pStyle w:val="11"/>
            </w:pPr>
            <w:r>
              <w:t>5.63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4.26</w:t>
            </w:r>
          </w:p>
        </w:tc>
        <w:tc>
          <w:tcPr>
            <w:tcW w:w="2551" w:type="dxa"/>
            <w:vAlign w:val="center"/>
          </w:tcPr>
          <w:p>
            <w:pPr>
              <w:pStyle w:val="11"/>
            </w:pPr>
            <w:r>
              <w:t>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8.56</w:t>
            </w:r>
          </w:p>
        </w:tc>
        <w:tc>
          <w:tcPr>
            <w:tcW w:w="2551" w:type="dxa"/>
            <w:vAlign w:val="center"/>
          </w:tcPr>
          <w:p>
            <w:pPr>
              <w:pStyle w:val="11"/>
            </w:pPr>
            <w:r>
              <w:t>8.56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16.93</w:t>
            </w:r>
          </w:p>
        </w:tc>
        <w:tc>
          <w:tcPr>
            <w:tcW w:w="2551" w:type="dxa"/>
            <w:vAlign w:val="center"/>
          </w:tcPr>
          <w:p>
            <w:pPr>
              <w:pStyle w:val="11"/>
            </w:pPr>
          </w:p>
        </w:tc>
        <w:tc>
          <w:tcPr>
            <w:tcW w:w="2551" w:type="dxa"/>
            <w:vAlign w:val="center"/>
          </w:tcPr>
          <w:p>
            <w:pPr>
              <w:pStyle w:val="11"/>
            </w:pPr>
            <w:r>
              <w:t>16.93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0.07</w:t>
            </w:r>
          </w:p>
        </w:tc>
        <w:tc>
          <w:tcPr>
            <w:tcW w:w="2551" w:type="dxa"/>
            <w:vAlign w:val="center"/>
          </w:tcPr>
          <w:p>
            <w:pPr>
              <w:pStyle w:val="11"/>
            </w:pPr>
          </w:p>
        </w:tc>
        <w:tc>
          <w:tcPr>
            <w:tcW w:w="2551" w:type="dxa"/>
            <w:vAlign w:val="center"/>
          </w:tcPr>
          <w:p>
            <w:pPr>
              <w:pStyle w:val="11"/>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0.57</w:t>
            </w:r>
          </w:p>
        </w:tc>
        <w:tc>
          <w:tcPr>
            <w:tcW w:w="2551" w:type="dxa"/>
            <w:vAlign w:val="center"/>
          </w:tcPr>
          <w:p>
            <w:pPr>
              <w:pStyle w:val="11"/>
            </w:pPr>
          </w:p>
        </w:tc>
        <w:tc>
          <w:tcPr>
            <w:tcW w:w="2551" w:type="dxa"/>
            <w:vAlign w:val="center"/>
          </w:tcPr>
          <w:p>
            <w:pPr>
              <w:pStyle w:val="11"/>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0.99</w:t>
            </w:r>
          </w:p>
        </w:tc>
        <w:tc>
          <w:tcPr>
            <w:tcW w:w="2551" w:type="dxa"/>
            <w:vAlign w:val="center"/>
          </w:tcPr>
          <w:p>
            <w:pPr>
              <w:pStyle w:val="11"/>
            </w:pPr>
          </w:p>
        </w:tc>
        <w:tc>
          <w:tcPr>
            <w:tcW w:w="2551" w:type="dxa"/>
            <w:vAlign w:val="center"/>
          </w:tcPr>
          <w:p>
            <w:pPr>
              <w:pStyle w:val="11"/>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0.06</w:t>
            </w:r>
          </w:p>
        </w:tc>
        <w:tc>
          <w:tcPr>
            <w:tcW w:w="2551" w:type="dxa"/>
            <w:vAlign w:val="center"/>
          </w:tcPr>
          <w:p>
            <w:pPr>
              <w:pStyle w:val="11"/>
            </w:pPr>
          </w:p>
        </w:tc>
        <w:tc>
          <w:tcPr>
            <w:tcW w:w="2551" w:type="dxa"/>
            <w:vAlign w:val="center"/>
          </w:tcPr>
          <w:p>
            <w:pPr>
              <w:pStyle w:val="11"/>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0.33</w:t>
            </w:r>
          </w:p>
        </w:tc>
        <w:tc>
          <w:tcPr>
            <w:tcW w:w="2551" w:type="dxa"/>
            <w:vAlign w:val="center"/>
          </w:tcPr>
          <w:p>
            <w:pPr>
              <w:pStyle w:val="11"/>
            </w:pPr>
          </w:p>
        </w:tc>
        <w:tc>
          <w:tcPr>
            <w:tcW w:w="2551" w:type="dxa"/>
            <w:vAlign w:val="center"/>
          </w:tcPr>
          <w:p>
            <w:pPr>
              <w:pStyle w:val="11"/>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0.27</w:t>
            </w:r>
          </w:p>
        </w:tc>
        <w:tc>
          <w:tcPr>
            <w:tcW w:w="2551" w:type="dxa"/>
            <w:vAlign w:val="center"/>
          </w:tcPr>
          <w:p>
            <w:pPr>
              <w:pStyle w:val="11"/>
            </w:pPr>
          </w:p>
        </w:tc>
        <w:tc>
          <w:tcPr>
            <w:tcW w:w="2551" w:type="dxa"/>
            <w:vAlign w:val="center"/>
          </w:tcPr>
          <w:p>
            <w:pPr>
              <w:pStyle w:val="11"/>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1.37</w:t>
            </w:r>
          </w:p>
        </w:tc>
        <w:tc>
          <w:tcPr>
            <w:tcW w:w="2551" w:type="dxa"/>
            <w:vAlign w:val="center"/>
          </w:tcPr>
          <w:p>
            <w:pPr>
              <w:pStyle w:val="11"/>
            </w:pPr>
          </w:p>
        </w:tc>
        <w:tc>
          <w:tcPr>
            <w:tcW w:w="2551" w:type="dxa"/>
            <w:vAlign w:val="center"/>
          </w:tcPr>
          <w:p>
            <w:pPr>
              <w:pStyle w:val="11"/>
            </w:pPr>
            <w:r>
              <w:t>1.37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4.71</w:t>
            </w:r>
          </w:p>
        </w:tc>
        <w:tc>
          <w:tcPr>
            <w:tcW w:w="2551" w:type="dxa"/>
            <w:vAlign w:val="center"/>
          </w:tcPr>
          <w:p>
            <w:pPr>
              <w:pStyle w:val="11"/>
            </w:pPr>
          </w:p>
        </w:tc>
        <w:tc>
          <w:tcPr>
            <w:tcW w:w="2551" w:type="dxa"/>
            <w:vAlign w:val="center"/>
          </w:tcPr>
          <w:p>
            <w:pPr>
              <w:pStyle w:val="11"/>
            </w:pPr>
            <w:r>
              <w:t>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0.37</w:t>
            </w:r>
          </w:p>
        </w:tc>
        <w:tc>
          <w:tcPr>
            <w:tcW w:w="2551" w:type="dxa"/>
            <w:vAlign w:val="center"/>
          </w:tcPr>
          <w:p>
            <w:pPr>
              <w:pStyle w:val="11"/>
            </w:pPr>
          </w:p>
        </w:tc>
        <w:tc>
          <w:tcPr>
            <w:tcW w:w="2551" w:type="dxa"/>
            <w:vAlign w:val="center"/>
          </w:tcPr>
          <w:p>
            <w:pPr>
              <w:pStyle w:val="11"/>
            </w:pPr>
            <w:r>
              <w:t>0.37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222004张家口市廉政教育基地</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222004张家口市廉政教育基地</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222004张家口市廉政教育基地</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4.98</w:t>
            </w:r>
          </w:p>
        </w:tc>
        <w:tc>
          <w:tcPr>
            <w:tcW w:w="2381" w:type="dxa"/>
            <w:vAlign w:val="center"/>
          </w:tcPr>
          <w:p>
            <w:pPr>
              <w:pStyle w:val="15"/>
            </w:pPr>
            <w:r>
              <w:t>4.98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4.98</w:t>
            </w:r>
          </w:p>
        </w:tc>
        <w:tc>
          <w:tcPr>
            <w:tcW w:w="2381" w:type="dxa"/>
            <w:vAlign w:val="center"/>
          </w:tcPr>
          <w:p>
            <w:pPr>
              <w:pStyle w:val="11"/>
            </w:pPr>
            <w:r>
              <w:t>4.98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rPr>
                <w:highlight w:val="yellow"/>
              </w:rPr>
            </w:pPr>
            <w:r>
              <w:t>二、公务用车购置及运维费</w:t>
            </w:r>
          </w:p>
        </w:tc>
        <w:tc>
          <w:tcPr>
            <w:tcW w:w="2382" w:type="dxa"/>
            <w:vAlign w:val="center"/>
          </w:tcPr>
          <w:p>
            <w:pPr>
              <w:pStyle w:val="11"/>
            </w:pPr>
            <w:r>
              <w:t>4.71</w:t>
            </w:r>
          </w:p>
        </w:tc>
        <w:tc>
          <w:tcPr>
            <w:tcW w:w="2381" w:type="dxa"/>
            <w:vAlign w:val="center"/>
          </w:tcPr>
          <w:p>
            <w:pPr>
              <w:pStyle w:val="11"/>
            </w:pPr>
            <w:r>
              <w:t>4.71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rPr>
                <w:highlight w:val="yellow"/>
              </w:rPr>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公务用车运行维护费</w:t>
            </w:r>
          </w:p>
        </w:tc>
        <w:tc>
          <w:tcPr>
            <w:tcW w:w="2382" w:type="dxa"/>
            <w:vAlign w:val="center"/>
          </w:tcPr>
          <w:p>
            <w:pPr>
              <w:pStyle w:val="11"/>
            </w:pPr>
            <w:r>
              <w:t>4.71</w:t>
            </w:r>
          </w:p>
        </w:tc>
        <w:tc>
          <w:tcPr>
            <w:tcW w:w="2381" w:type="dxa"/>
            <w:vAlign w:val="center"/>
          </w:tcPr>
          <w:p>
            <w:pPr>
              <w:pStyle w:val="11"/>
            </w:pPr>
            <w:r>
              <w:t>4.71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三、公务接待费</w:t>
            </w:r>
          </w:p>
        </w:tc>
        <w:tc>
          <w:tcPr>
            <w:tcW w:w="2382" w:type="dxa"/>
            <w:vAlign w:val="center"/>
          </w:tcPr>
          <w:p>
            <w:pPr>
              <w:pStyle w:val="11"/>
            </w:pPr>
            <w:r>
              <w:t>0.27</w:t>
            </w:r>
          </w:p>
        </w:tc>
        <w:tc>
          <w:tcPr>
            <w:tcW w:w="2381" w:type="dxa"/>
            <w:vAlign w:val="center"/>
          </w:tcPr>
          <w:p>
            <w:pPr>
              <w:pStyle w:val="11"/>
            </w:pPr>
            <w:r>
              <w:t>0.27</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张家口市廉政教育基地2022年单位预算信息公开情况说明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按照《预算法》、《地方预决算公开操作规程》和《关于进一步推进预算公开工作的实施意见》规定，现将张家口市廉政教育基地2022年单位预算公开如下：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市廉政教育基地主要负责组织廉政展示；负责组织全市党员干部廉政教育培训工作；负责承担全市纪检监察重要、复杂案件查办和</w:t>
      </w:r>
      <w:r>
        <w:rPr>
          <w:rFonts w:hint="eastAsia"/>
          <w:lang w:eastAsia="zh-CN"/>
        </w:rPr>
        <w:t>留置</w:t>
      </w:r>
      <w:bookmarkStart w:id="2" w:name="_GoBack"/>
      <w:bookmarkEnd w:id="2"/>
      <w:r>
        <w:t>措施实施的服务保障工作；负责承担上级纪检监察机关查办案件的服务保障工作；负责制定廉政教育基地发展规划和日常管理工作；承办领导交办的其他工作任务。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张家口市廉政教育基地</w:t>
            </w:r>
          </w:p>
        </w:tc>
        <w:tc>
          <w:tcPr>
            <w:tcW w:w="1843" w:type="dxa"/>
            <w:vAlign w:val="center"/>
          </w:tcPr>
          <w:p>
            <w:pPr>
              <w:pStyle w:val="13"/>
            </w:pPr>
            <w:r>
              <w:t>事业</w:t>
            </w:r>
          </w:p>
        </w:tc>
        <w:tc>
          <w:tcPr>
            <w:tcW w:w="2126" w:type="dxa"/>
            <w:vAlign w:val="center"/>
          </w:tcPr>
          <w:p>
            <w:pPr>
              <w:pStyle w:val="13"/>
            </w:pPr>
            <w:r>
              <w:t>正科级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6"/>
      </w:pPr>
      <w:r>
        <w:t>1、收入说明</w:t>
      </w:r>
    </w:p>
    <w:p>
      <w:pPr>
        <w:pStyle w:val="26"/>
      </w:pPr>
      <w:r>
        <w:t>反映本单位当年全部收入。2022年预算收入1783.51万元，其中：一般公共预算收入793.51万元，基金预算收入0万元，财政专户核拨收入0万元，单位资金收入0万元，上年结转结余990万元。</w:t>
      </w:r>
    </w:p>
    <w:p>
      <w:pPr>
        <w:pStyle w:val="26"/>
      </w:pPr>
      <w:r>
        <w:t>2、支出说明</w:t>
      </w:r>
    </w:p>
    <w:p>
      <w:pPr>
        <w:pStyle w:val="26"/>
      </w:pPr>
      <w:r>
        <w:t>收支预算总表支出栏、基本支出表、项目支出表按经济分类和支出功能分类科目编制，反映中共张家口市纪律检查委员会</w:t>
      </w:r>
      <w:r>
        <w:rPr>
          <w:rFonts w:hint="eastAsia"/>
          <w:lang w:eastAsia="zh-CN"/>
        </w:rPr>
        <w:t>张家口市监察委员会</w:t>
      </w:r>
      <w:r>
        <w:t>年度单位预算中支出预算的总体情况。2022年单位支出预算为1783.51万元，其中基本支123.51万元，包括人员经费106.58万元和日常公用经费16.93万元；项目支出1660万元，主要为廉政基地留置措施保障经费和廉政教育基地运转经费。</w:t>
      </w:r>
    </w:p>
    <w:p>
      <w:pPr>
        <w:pStyle w:val="26"/>
      </w:pPr>
      <w:r>
        <w:t>3、比上年增减情况</w:t>
      </w:r>
    </w:p>
    <w:p>
      <w:pPr>
        <w:pStyle w:val="26"/>
      </w:pPr>
      <w:r>
        <w:t>2022年单位预算收支安排万元，较2021年预算减少339.79万元，其中：基本支出增加1.21万元，主要是人员经费增加。项目支出减少341万元，主要是厉行节约，缩减开支。</w:t>
      </w:r>
    </w:p>
    <w:p>
      <w:pPr>
        <w:spacing w:before="10" w:after="10"/>
        <w:ind w:firstLine="640"/>
        <w:outlineLvl w:val="5"/>
      </w:pPr>
      <w:r>
        <w:rPr>
          <w:rFonts w:ascii="黑体" w:hAnsi="黑体" w:eastAsia="黑体" w:cs="黑体"/>
          <w:color w:val="000000"/>
          <w:sz w:val="32"/>
        </w:rPr>
        <w:t>三、机关运行经费安排情况</w:t>
      </w:r>
    </w:p>
    <w:p>
      <w:pPr>
        <w:pStyle w:val="27"/>
      </w:pPr>
      <w:r>
        <w:t>2022年，我单位机关运行经费共计安排16.93万元，主要用于保证机关正常运转的办公及印刷费、邮电费、差旅费、会议费、福利费、专用材料及一般设备购置费、办公用房水电费、办公用房取暖费、日常维修费、办公楼物业管理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2022年，我单位财政拨款“三公”经费预算安排4.98万元，其中：因公出国（境）费0万元；公务用车购置及运维费4.71万元（其中：公务用车购置费0万元，公务用车运行维护费4.71万元)；公务接待费0.27万元。“三公”因公出国（境）费与去年持平，无增减变化;公务用车购置及运维费与去年持平，无增减变化;公务接待费与去年持平，无增减变化;</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ind w:firstLine="640"/>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按照预算公开有关要求，绩效文本中的涉密项目绩效目标不予公开。</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2022年，张家口市廉政教育基地安排政府采购预算0.00万元。具体内容见下表。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222004张家口市廉政教育基地</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张家口市廉政教育基地上年末固定资产金额为79.44万元（详见下表）。本年度拟购置固定资产总额为0.00万元，已按要求列入政府采购预算，详见政府采购预算表。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222004张家口市廉政教育基地</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21</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21</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43.90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35.54</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roman"/>
    <w:pitch w:val="default"/>
    <w:sig w:usb0="00000001" w:usb1="080E0000" w:usb2="00000000" w:usb3="00000000" w:csb0="00040000" w:csb1="00000000"/>
  </w:font>
  <w:font w:name="方正书宋_GBK">
    <w:altName w:val="Arial Unicode MS"/>
    <w:panose1 w:val="02000000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FA0D3"/>
    <w:multiLevelType w:val="singleLevel"/>
    <w:tmpl w:val="FCFFA0D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F2E9B"/>
    <w:rsid w:val="00DD080F"/>
    <w:rsid w:val="00EF2E9B"/>
    <w:rsid w:val="0EF7F71B"/>
    <w:rsid w:val="2F1F288C"/>
    <w:rsid w:val="33EE4AFB"/>
    <w:rsid w:val="3EAF60B9"/>
    <w:rsid w:val="411E1216"/>
    <w:rsid w:val="47492D04"/>
    <w:rsid w:val="4B507D03"/>
    <w:rsid w:val="5BFAA827"/>
    <w:rsid w:val="66BF9364"/>
    <w:rsid w:val="73672FE6"/>
    <w:rsid w:val="79FF635E"/>
    <w:rsid w:val="7DCAF7EF"/>
    <w:rsid w:val="7FBF18FF"/>
    <w:rsid w:val="8B77719E"/>
    <w:rsid w:val="A7E95216"/>
    <w:rsid w:val="CE78D307"/>
    <w:rsid w:val="DD7A5731"/>
    <w:rsid w:val="DFCF01D9"/>
    <w:rsid w:val="DFDEDC72"/>
    <w:rsid w:val="E9BB50FA"/>
    <w:rsid w:val="EF4ED131"/>
    <w:rsid w:val="EFFFF979"/>
    <w:rsid w:val="FEEFA96D"/>
    <w:rsid w:val="FFDB4AD6"/>
    <w:rsid w:val="FFFFB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10687</Words>
  <Characters>13646</Characters>
  <Lines>325</Lines>
  <Paragraphs>91</Paragraphs>
  <TotalTime>5</TotalTime>
  <ScaleCrop>false</ScaleCrop>
  <LinksUpToDate>false</LinksUpToDate>
  <CharactersWithSpaces>13900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2022-03-23T16:19:00Z</dcterms:created>
  <dc:creator>Administrator</dc:creator>
  <cp:lastModifiedBy>何宁</cp:lastModifiedBy>
  <cp:lastPrinted>2022-04-14T10:14:00Z</cp:lastPrinted>
  <dcterms:modified xsi:type="dcterms:W3CDTF">2022-04-15T00:52:10Z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5CECBE926AC646F6828EF9CD707A2784</vt:lpwstr>
  </property>
</Properties>
</file>